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4E6282">
        <w:rPr>
          <w:rFonts w:ascii="Times New Roman" w:hAnsi="Times New Roman" w:cs="Times New Roman"/>
          <w:b/>
          <w:color w:val="000000"/>
          <w:sz w:val="28"/>
          <w:szCs w:val="28"/>
        </w:rPr>
        <w:t>5</w:t>
      </w:r>
      <w:r w:rsidR="00E4388C">
        <w:rPr>
          <w:rFonts w:ascii="Times New Roman" w:hAnsi="Times New Roman" w:cs="Times New Roman"/>
          <w:b/>
          <w:color w:val="000000"/>
          <w:sz w:val="28"/>
          <w:szCs w:val="28"/>
        </w:rPr>
        <w:t>/2019</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w:t>
      </w:r>
      <w:r w:rsidR="009F6F47">
        <w:rPr>
          <w:rFonts w:ascii="Times New Roman" w:hAnsi="Times New Roman" w:cs="Times New Roman"/>
          <w:b/>
          <w:color w:val="000000"/>
          <w:sz w:val="26"/>
          <w:szCs w:val="26"/>
        </w:rPr>
        <w:t>i, 2019</w:t>
      </w:r>
    </w:p>
    <w:p w:rsidR="00AC37BB" w:rsidRPr="00632796" w:rsidRDefault="00AC37BB" w:rsidP="00AC37BB">
      <w:pPr>
        <w:spacing w:line="312" w:lineRule="auto"/>
        <w:jc w:val="center"/>
        <w:rPr>
          <w:rFonts w:ascii="Times New Roman" w:hAnsi="Times New Roman" w:cs="Times New Roman"/>
          <w:b/>
          <w:sz w:val="26"/>
          <w:szCs w:val="26"/>
        </w:rPr>
      </w:pPr>
      <w:bookmarkStart w:id="0" w:name="_GoBack"/>
      <w:r w:rsidRPr="00632796">
        <w:rPr>
          <w:rFonts w:ascii="Times New Roman" w:hAnsi="Times New Roman" w:cs="Times New Roman"/>
          <w:b/>
          <w:sz w:val="26"/>
          <w:szCs w:val="26"/>
        </w:rPr>
        <w:lastRenderedPageBreak/>
        <w:t>MỤC LỤC</w:t>
      </w:r>
    </w:p>
    <w:p w:rsidR="00630F2E" w:rsidRPr="00E939C2" w:rsidRDefault="009B379A">
      <w:pPr>
        <w:pStyle w:val="TOC1"/>
        <w:tabs>
          <w:tab w:val="left" w:pos="440"/>
          <w:tab w:val="right" w:leader="dot" w:pos="8630"/>
        </w:tabs>
        <w:rPr>
          <w:rFonts w:ascii="Times New Roman" w:hAnsi="Times New Roman" w:cs="Times New Roman"/>
          <w:noProof/>
          <w:sz w:val="26"/>
          <w:szCs w:val="26"/>
        </w:rPr>
      </w:pPr>
      <w:r w:rsidRPr="00B93786">
        <w:rPr>
          <w:rFonts w:ascii="Times New Roman" w:hAnsi="Times New Roman" w:cs="Times New Roman"/>
          <w:b/>
          <w:sz w:val="26"/>
          <w:szCs w:val="26"/>
        </w:rPr>
        <w:fldChar w:fldCharType="begin"/>
      </w:r>
      <w:r w:rsidR="00C45DE0" w:rsidRPr="00B93786">
        <w:rPr>
          <w:rFonts w:ascii="Times New Roman" w:hAnsi="Times New Roman" w:cs="Times New Roman"/>
          <w:b/>
          <w:sz w:val="26"/>
          <w:szCs w:val="26"/>
        </w:rPr>
        <w:instrText xml:space="preserve"> TOC \o "1-3" \h \z \u </w:instrText>
      </w:r>
      <w:r w:rsidRPr="00B93786">
        <w:rPr>
          <w:rFonts w:ascii="Times New Roman" w:hAnsi="Times New Roman" w:cs="Times New Roman"/>
          <w:b/>
          <w:sz w:val="26"/>
          <w:szCs w:val="26"/>
        </w:rPr>
        <w:fldChar w:fldCharType="separate"/>
      </w:r>
      <w:hyperlink w:anchor="_Toc5634782" w:history="1">
        <w:r w:rsidR="00630F2E" w:rsidRPr="00E939C2">
          <w:rPr>
            <w:rStyle w:val="Hyperlink"/>
            <w:rFonts w:ascii="Times New Roman" w:hAnsi="Times New Roman" w:cs="Times New Roman"/>
            <w:b/>
            <w:noProof/>
            <w:sz w:val="26"/>
            <w:szCs w:val="26"/>
          </w:rPr>
          <w:t>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Tình hình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3</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83" w:history="1">
        <w:r w:rsidR="00630F2E" w:rsidRPr="00E939C2">
          <w:rPr>
            <w:rStyle w:val="Hyperlink"/>
            <w:rFonts w:ascii="Times New Roman" w:hAnsi="Times New Roman" w:cs="Times New Roman"/>
            <w:b/>
            <w:i/>
            <w:iCs/>
            <w:noProof/>
            <w:sz w:val="26"/>
            <w:szCs w:val="26"/>
          </w:rPr>
          <w:t>1.1.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Hoạt động logistics: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_Toc5634783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3</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84" w:history="1">
        <w:r w:rsidR="00630F2E" w:rsidRPr="00E939C2">
          <w:rPr>
            <w:rStyle w:val="Hyperlink"/>
            <w:rFonts w:ascii="Times New Roman" w:hAnsi="Times New Roman" w:cs="Times New Roman"/>
            <w:b/>
            <w:i/>
            <w:iCs/>
            <w:noProof/>
            <w:sz w:val="26"/>
            <w:szCs w:val="26"/>
          </w:rPr>
          <w:t>1.2.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Tình hình kinh tế, sản xuất, thương mại cố liên quan đến hoạt động logistics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_Toc5634784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5</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1"/>
        <w:tabs>
          <w:tab w:val="left" w:pos="440"/>
          <w:tab w:val="right" w:leader="dot" w:pos="8630"/>
        </w:tabs>
        <w:rPr>
          <w:rFonts w:ascii="Times New Roman" w:hAnsi="Times New Roman" w:cs="Times New Roman"/>
          <w:noProof/>
          <w:sz w:val="26"/>
          <w:szCs w:val="26"/>
        </w:rPr>
      </w:pPr>
      <w:hyperlink w:anchor="_Toc5634785" w:history="1">
        <w:r w:rsidR="00630F2E" w:rsidRPr="00E939C2">
          <w:rPr>
            <w:rStyle w:val="Hyperlink"/>
            <w:rFonts w:ascii="Times New Roman" w:hAnsi="Times New Roman" w:cs="Times New Roman"/>
            <w:b/>
            <w:iCs/>
            <w:noProof/>
            <w:sz w:val="26"/>
            <w:szCs w:val="26"/>
          </w:rPr>
          <w:t>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Hoạt động vận tải</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_Toc5634785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7</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86" w:history="1">
        <w:r w:rsidR="00630F2E" w:rsidRPr="00E939C2">
          <w:rPr>
            <w:rStyle w:val="Hyperlink"/>
            <w:rFonts w:ascii="Times New Roman" w:hAnsi="Times New Roman" w:cs="Times New Roman"/>
            <w:b/>
            <w:i/>
            <w:iCs/>
            <w:noProof/>
            <w:sz w:val="26"/>
            <w:szCs w:val="26"/>
          </w:rPr>
          <w:t>2.1.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Tình hình vận tải nói chung: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_Toc5634786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7</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87" w:history="1">
        <w:r w:rsidR="00630F2E" w:rsidRPr="00E939C2">
          <w:rPr>
            <w:rStyle w:val="Hyperlink"/>
            <w:rFonts w:ascii="Times New Roman" w:hAnsi="Times New Roman" w:cs="Times New Roman"/>
            <w:b/>
            <w:i/>
            <w:iCs/>
            <w:noProof/>
            <w:sz w:val="26"/>
            <w:szCs w:val="26"/>
          </w:rPr>
          <w:t>2.2.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sắt:</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_Toc5634787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8</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88" w:history="1">
        <w:r w:rsidR="00630F2E" w:rsidRPr="00E939C2">
          <w:rPr>
            <w:rStyle w:val="Hyperlink"/>
            <w:rFonts w:ascii="Times New Roman" w:hAnsi="Times New Roman" w:cs="Times New Roman"/>
            <w:b/>
            <w:i/>
            <w:iCs/>
            <w:noProof/>
            <w:sz w:val="26"/>
            <w:szCs w:val="26"/>
          </w:rPr>
          <w:t>2.3.</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bộ</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_Toc5634788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11</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89" w:history="1">
        <w:r w:rsidR="00630F2E" w:rsidRPr="00E939C2">
          <w:rPr>
            <w:rStyle w:val="Hyperlink"/>
            <w:rFonts w:ascii="Times New Roman" w:hAnsi="Times New Roman" w:cs="Times New Roman"/>
            <w:b/>
            <w:i/>
            <w:iCs/>
            <w:noProof/>
            <w:sz w:val="26"/>
            <w:szCs w:val="26"/>
          </w:rPr>
          <w:t>2.4.</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đường thủy (đường biển và đường thủy nội địa- waterways)</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_Toc5634789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12</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90" w:history="1">
        <w:r w:rsidR="00630F2E" w:rsidRPr="00E939C2">
          <w:rPr>
            <w:rStyle w:val="Hyperlink"/>
            <w:rFonts w:ascii="Times New Roman" w:hAnsi="Times New Roman" w:cs="Times New Roman"/>
            <w:b/>
            <w:i/>
            <w:iCs/>
            <w:noProof/>
            <w:sz w:val="26"/>
            <w:szCs w:val="26"/>
          </w:rPr>
          <w:t>2.5.</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iCs/>
            <w:noProof/>
            <w:sz w:val="26"/>
            <w:szCs w:val="26"/>
          </w:rPr>
          <w:t>Vận chuyển hàng không dân dụng:</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_Toc5634790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14</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1"/>
        <w:tabs>
          <w:tab w:val="left" w:pos="440"/>
          <w:tab w:val="right" w:leader="dot" w:pos="8630"/>
        </w:tabs>
        <w:rPr>
          <w:rFonts w:ascii="Times New Roman" w:hAnsi="Times New Roman" w:cs="Times New Roman"/>
          <w:noProof/>
          <w:sz w:val="26"/>
          <w:szCs w:val="26"/>
        </w:rPr>
      </w:pPr>
      <w:hyperlink w:anchor="_Toc5634791" w:history="1">
        <w:r w:rsidR="00630F2E" w:rsidRPr="00E939C2">
          <w:rPr>
            <w:rStyle w:val="Hyperlink"/>
            <w:rFonts w:ascii="Times New Roman" w:hAnsi="Times New Roman" w:cs="Times New Roman"/>
            <w:b/>
            <w:noProof/>
            <w:sz w:val="26"/>
            <w:szCs w:val="26"/>
          </w:rPr>
          <w:t>3.</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noProof/>
            <w:sz w:val="26"/>
            <w:szCs w:val="26"/>
          </w:rPr>
          <w:t>Các hoạt động khác:</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_Toc5634791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16</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92" w:history="1">
        <w:r w:rsidR="00630F2E" w:rsidRPr="00E939C2">
          <w:rPr>
            <w:rStyle w:val="Hyperlink"/>
            <w:rFonts w:ascii="Times New Roman" w:hAnsi="Times New Roman" w:cs="Times New Roman"/>
            <w:b/>
            <w:i/>
            <w:noProof/>
            <w:sz w:val="26"/>
            <w:szCs w:val="26"/>
          </w:rPr>
          <w:t>3.1.</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noProof/>
            <w:sz w:val="26"/>
            <w:szCs w:val="26"/>
          </w:rPr>
          <w:t>Cảng biển</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_Toc5634792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16</w:t>
        </w:r>
        <w:r w:rsidR="00630F2E" w:rsidRPr="00E939C2">
          <w:rPr>
            <w:rFonts w:ascii="Times New Roman" w:hAnsi="Times New Roman" w:cs="Times New Roman"/>
            <w:noProof/>
            <w:webHidden/>
            <w:sz w:val="26"/>
            <w:szCs w:val="26"/>
          </w:rPr>
          <w:fldChar w:fldCharType="end"/>
        </w:r>
      </w:hyperlink>
    </w:p>
    <w:p w:rsidR="00630F2E" w:rsidRPr="00E939C2" w:rsidRDefault="00695CDC">
      <w:pPr>
        <w:pStyle w:val="TOC2"/>
        <w:tabs>
          <w:tab w:val="left" w:pos="880"/>
          <w:tab w:val="right" w:leader="dot" w:pos="8630"/>
        </w:tabs>
        <w:rPr>
          <w:rFonts w:ascii="Times New Roman" w:hAnsi="Times New Roman" w:cs="Times New Roman"/>
          <w:noProof/>
          <w:sz w:val="26"/>
          <w:szCs w:val="26"/>
        </w:rPr>
      </w:pPr>
      <w:hyperlink w:anchor="_Toc5634793" w:history="1">
        <w:r w:rsidR="00630F2E" w:rsidRPr="00E939C2">
          <w:rPr>
            <w:rStyle w:val="Hyperlink"/>
            <w:rFonts w:ascii="Times New Roman" w:hAnsi="Times New Roman" w:cs="Times New Roman"/>
            <w:b/>
            <w:i/>
            <w:iCs/>
            <w:noProof/>
            <w:sz w:val="26"/>
            <w:szCs w:val="26"/>
          </w:rPr>
          <w:t>3.2.</w:t>
        </w:r>
        <w:r w:rsidR="00630F2E" w:rsidRPr="00E939C2">
          <w:rPr>
            <w:rFonts w:ascii="Times New Roman" w:hAnsi="Times New Roman" w:cs="Times New Roman"/>
            <w:noProof/>
            <w:sz w:val="26"/>
            <w:szCs w:val="26"/>
          </w:rPr>
          <w:tab/>
        </w:r>
        <w:r w:rsidR="00630F2E" w:rsidRPr="00E939C2">
          <w:rPr>
            <w:rStyle w:val="Hyperlink"/>
            <w:rFonts w:ascii="Times New Roman" w:hAnsi="Times New Roman" w:cs="Times New Roman"/>
            <w:b/>
            <w:i/>
            <w:noProof/>
            <w:sz w:val="26"/>
            <w:szCs w:val="26"/>
          </w:rPr>
          <w:t>Logistics cho thương mại điện tử, kho bãi, giao nhận:</w:t>
        </w:r>
        <w:r w:rsidR="00630F2E" w:rsidRPr="00E939C2">
          <w:rPr>
            <w:rFonts w:ascii="Times New Roman" w:hAnsi="Times New Roman" w:cs="Times New Roman"/>
            <w:noProof/>
            <w:webHidden/>
            <w:sz w:val="26"/>
            <w:szCs w:val="26"/>
          </w:rPr>
          <w:tab/>
        </w:r>
        <w:r w:rsidR="00630F2E" w:rsidRPr="00E939C2">
          <w:rPr>
            <w:rFonts w:ascii="Times New Roman" w:hAnsi="Times New Roman" w:cs="Times New Roman"/>
            <w:noProof/>
            <w:webHidden/>
            <w:sz w:val="26"/>
            <w:szCs w:val="26"/>
          </w:rPr>
          <w:fldChar w:fldCharType="begin"/>
        </w:r>
        <w:r w:rsidR="00630F2E" w:rsidRPr="00E939C2">
          <w:rPr>
            <w:rFonts w:ascii="Times New Roman" w:hAnsi="Times New Roman" w:cs="Times New Roman"/>
            <w:noProof/>
            <w:webHidden/>
            <w:sz w:val="26"/>
            <w:szCs w:val="26"/>
          </w:rPr>
          <w:instrText xml:space="preserve"> PAGEREF _Toc5634793 \h </w:instrText>
        </w:r>
        <w:r w:rsidR="00630F2E" w:rsidRPr="00E939C2">
          <w:rPr>
            <w:rFonts w:ascii="Times New Roman" w:hAnsi="Times New Roman" w:cs="Times New Roman"/>
            <w:noProof/>
            <w:webHidden/>
            <w:sz w:val="26"/>
            <w:szCs w:val="26"/>
          </w:rPr>
        </w:r>
        <w:r w:rsidR="00630F2E" w:rsidRPr="00E939C2">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17</w:t>
        </w:r>
        <w:r w:rsidR="00630F2E" w:rsidRPr="00E939C2">
          <w:rPr>
            <w:rFonts w:ascii="Times New Roman" w:hAnsi="Times New Roman" w:cs="Times New Roman"/>
            <w:noProof/>
            <w:webHidden/>
            <w:sz w:val="26"/>
            <w:szCs w:val="26"/>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B93786">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B93786">
      <w:pPr>
        <w:spacing w:line="312" w:lineRule="auto"/>
        <w:rPr>
          <w:rFonts w:ascii="Times New Roman" w:hAnsi="Times New Roman" w:cs="Times New Roman"/>
          <w:sz w:val="26"/>
          <w:szCs w:val="26"/>
        </w:rPr>
      </w:pPr>
    </w:p>
    <w:p w:rsidR="00630F2E" w:rsidRPr="002665E5" w:rsidRDefault="00630F2E" w:rsidP="00B93786">
      <w:pPr>
        <w:spacing w:line="312" w:lineRule="auto"/>
        <w:rPr>
          <w:rFonts w:ascii="Times New Roman" w:hAnsi="Times New Roman" w:cs="Times New Roman"/>
          <w:sz w:val="26"/>
          <w:szCs w:val="26"/>
        </w:rPr>
      </w:pPr>
    </w:p>
    <w:p w:rsidR="00C45DE0" w:rsidRPr="00A90838" w:rsidRDefault="00C45DE0" w:rsidP="00AC37BB">
      <w:pPr>
        <w:spacing w:line="312" w:lineRule="auto"/>
        <w:jc w:val="center"/>
        <w:rPr>
          <w:rFonts w:ascii="Times New Roman" w:hAnsi="Times New Roman" w:cs="Times New Roman"/>
          <w:b/>
          <w:sz w:val="24"/>
          <w:szCs w:val="24"/>
        </w:rPr>
      </w:pPr>
      <w:r w:rsidRPr="00A90838">
        <w:rPr>
          <w:rFonts w:ascii="Times New Roman" w:hAnsi="Times New Roman" w:cs="Times New Roman"/>
          <w:b/>
          <w:sz w:val="24"/>
          <w:szCs w:val="24"/>
        </w:rPr>
        <w:t>DANH MỤC HÌNH</w:t>
      </w:r>
    </w:p>
    <w:p w:rsidR="00A964EA" w:rsidRDefault="009B379A">
      <w:pPr>
        <w:pStyle w:val="TableofFigures"/>
        <w:tabs>
          <w:tab w:val="right" w:leader="dot" w:pos="8630"/>
        </w:tabs>
        <w:rPr>
          <w:noProof/>
        </w:rPr>
      </w:pPr>
      <w:r w:rsidRPr="00161A64">
        <w:rPr>
          <w:rFonts w:ascii="Times New Roman" w:hAnsi="Times New Roman" w:cs="Times New Roman"/>
          <w:sz w:val="26"/>
          <w:szCs w:val="26"/>
        </w:rPr>
        <w:fldChar w:fldCharType="begin"/>
      </w:r>
      <w:r w:rsidR="00C45DE0" w:rsidRPr="00161A64">
        <w:rPr>
          <w:rFonts w:ascii="Times New Roman" w:hAnsi="Times New Roman" w:cs="Times New Roman"/>
          <w:sz w:val="26"/>
          <w:szCs w:val="26"/>
        </w:rPr>
        <w:instrText xml:space="preserve"> TOC \h \z \c "Hình" </w:instrText>
      </w:r>
      <w:r w:rsidRPr="00161A64">
        <w:rPr>
          <w:rFonts w:ascii="Times New Roman" w:hAnsi="Times New Roman" w:cs="Times New Roman"/>
          <w:sz w:val="26"/>
          <w:szCs w:val="26"/>
        </w:rPr>
        <w:fldChar w:fldCharType="separate"/>
      </w:r>
      <w:hyperlink w:anchor="_Toc10017959" w:history="1">
        <w:r w:rsidR="00A964EA" w:rsidRPr="008436FC">
          <w:rPr>
            <w:rStyle w:val="Hyperlink"/>
            <w:rFonts w:ascii="Times New Roman" w:hAnsi="Times New Roman" w:cs="Times New Roman"/>
            <w:b/>
            <w:noProof/>
          </w:rPr>
          <w:t xml:space="preserve">Hình 1: </w:t>
        </w:r>
        <w:r w:rsidR="00A964EA" w:rsidRPr="008436FC">
          <w:rPr>
            <w:rStyle w:val="Hyperlink"/>
            <w:rFonts w:ascii="Times New Roman" w:hAnsi="Times New Roman" w:cs="Times New Roman"/>
            <w:b/>
            <w:iCs/>
            <w:noProof/>
          </w:rPr>
          <w:t>Đường sắt tại Thiểm Tây, Trung Quốc</w:t>
        </w:r>
        <w:r w:rsidR="00A964EA">
          <w:rPr>
            <w:noProof/>
            <w:webHidden/>
          </w:rPr>
          <w:tab/>
        </w:r>
        <w:r w:rsidR="00A964EA">
          <w:rPr>
            <w:noProof/>
            <w:webHidden/>
          </w:rPr>
          <w:fldChar w:fldCharType="begin"/>
        </w:r>
        <w:r w:rsidR="00A964EA">
          <w:rPr>
            <w:noProof/>
            <w:webHidden/>
          </w:rPr>
          <w:instrText xml:space="preserve"> PAGEREF _Toc10017959 \h </w:instrText>
        </w:r>
        <w:r w:rsidR="00A964EA">
          <w:rPr>
            <w:noProof/>
            <w:webHidden/>
          </w:rPr>
        </w:r>
        <w:r w:rsidR="00A964EA">
          <w:rPr>
            <w:noProof/>
            <w:webHidden/>
          </w:rPr>
          <w:fldChar w:fldCharType="separate"/>
        </w:r>
        <w:r w:rsidR="00A964EA">
          <w:rPr>
            <w:noProof/>
            <w:webHidden/>
          </w:rPr>
          <w:t>4</w:t>
        </w:r>
        <w:r w:rsidR="00A964EA">
          <w:rPr>
            <w:noProof/>
            <w:webHidden/>
          </w:rPr>
          <w:fldChar w:fldCharType="end"/>
        </w:r>
      </w:hyperlink>
    </w:p>
    <w:p w:rsidR="00A964EA" w:rsidRDefault="00A964EA">
      <w:pPr>
        <w:pStyle w:val="TableofFigures"/>
        <w:tabs>
          <w:tab w:val="right" w:leader="dot" w:pos="8630"/>
        </w:tabs>
        <w:rPr>
          <w:noProof/>
        </w:rPr>
      </w:pPr>
      <w:hyperlink w:anchor="_Toc10017960" w:history="1">
        <w:r w:rsidRPr="008436FC">
          <w:rPr>
            <w:rStyle w:val="Hyperlink"/>
            <w:rFonts w:ascii="Times New Roman" w:hAnsi="Times New Roman" w:cs="Times New Roman"/>
            <w:b/>
            <w:noProof/>
          </w:rPr>
          <w:t>Hình 2: Tổng lượng vận chuyển hàng hóa theo tháng của Trung Quốc</w:t>
        </w:r>
        <w:r>
          <w:rPr>
            <w:noProof/>
            <w:webHidden/>
          </w:rPr>
          <w:tab/>
        </w:r>
        <w:r>
          <w:rPr>
            <w:noProof/>
            <w:webHidden/>
          </w:rPr>
          <w:fldChar w:fldCharType="begin"/>
        </w:r>
        <w:r>
          <w:rPr>
            <w:noProof/>
            <w:webHidden/>
          </w:rPr>
          <w:instrText xml:space="preserve"> PAGEREF _Toc10017960 \h </w:instrText>
        </w:r>
        <w:r>
          <w:rPr>
            <w:noProof/>
            <w:webHidden/>
          </w:rPr>
        </w:r>
        <w:r>
          <w:rPr>
            <w:noProof/>
            <w:webHidden/>
          </w:rPr>
          <w:fldChar w:fldCharType="separate"/>
        </w:r>
        <w:r>
          <w:rPr>
            <w:noProof/>
            <w:webHidden/>
          </w:rPr>
          <w:t>7</w:t>
        </w:r>
        <w:r>
          <w:rPr>
            <w:noProof/>
            <w:webHidden/>
          </w:rPr>
          <w:fldChar w:fldCharType="end"/>
        </w:r>
      </w:hyperlink>
    </w:p>
    <w:p w:rsidR="00A964EA" w:rsidRDefault="00A964EA">
      <w:pPr>
        <w:pStyle w:val="TableofFigures"/>
        <w:tabs>
          <w:tab w:val="right" w:leader="dot" w:pos="8630"/>
        </w:tabs>
        <w:rPr>
          <w:noProof/>
        </w:rPr>
      </w:pPr>
      <w:hyperlink w:anchor="_Toc10017961" w:history="1">
        <w:r w:rsidRPr="008436FC">
          <w:rPr>
            <w:rStyle w:val="Hyperlink"/>
            <w:rFonts w:ascii="Times New Roman" w:hAnsi="Times New Roman" w:cs="Times New Roman"/>
            <w:b/>
            <w:noProof/>
          </w:rPr>
          <w:t>Hình 3: Cơ cấu vận chuyển hàng hóa theo phương thức vận tải của Trung Quốc trong 4 tháng đầu năm 2019</w:t>
        </w:r>
        <w:r>
          <w:rPr>
            <w:noProof/>
            <w:webHidden/>
          </w:rPr>
          <w:tab/>
        </w:r>
        <w:r>
          <w:rPr>
            <w:noProof/>
            <w:webHidden/>
          </w:rPr>
          <w:fldChar w:fldCharType="begin"/>
        </w:r>
        <w:r>
          <w:rPr>
            <w:noProof/>
            <w:webHidden/>
          </w:rPr>
          <w:instrText xml:space="preserve"> PAGEREF _Toc10017961 \h </w:instrText>
        </w:r>
        <w:r>
          <w:rPr>
            <w:noProof/>
            <w:webHidden/>
          </w:rPr>
        </w:r>
        <w:r>
          <w:rPr>
            <w:noProof/>
            <w:webHidden/>
          </w:rPr>
          <w:fldChar w:fldCharType="separate"/>
        </w:r>
        <w:r>
          <w:rPr>
            <w:noProof/>
            <w:webHidden/>
          </w:rPr>
          <w:t>8</w:t>
        </w:r>
        <w:r>
          <w:rPr>
            <w:noProof/>
            <w:webHidden/>
          </w:rPr>
          <w:fldChar w:fldCharType="end"/>
        </w:r>
      </w:hyperlink>
    </w:p>
    <w:p w:rsidR="00A964EA" w:rsidRDefault="00A964EA">
      <w:pPr>
        <w:pStyle w:val="TableofFigures"/>
        <w:tabs>
          <w:tab w:val="right" w:leader="dot" w:pos="8630"/>
        </w:tabs>
        <w:rPr>
          <w:noProof/>
        </w:rPr>
      </w:pPr>
      <w:hyperlink w:anchor="_Toc10017962" w:history="1">
        <w:r w:rsidRPr="008436FC">
          <w:rPr>
            <w:rStyle w:val="Hyperlink"/>
            <w:rFonts w:ascii="Times New Roman" w:hAnsi="Times New Roman" w:cs="Times New Roman"/>
            <w:b/>
            <w:noProof/>
          </w:rPr>
          <w:t>Hình 4: Vận chuyển hàng hóa bằng đường sắt theo tháng</w:t>
        </w:r>
        <w:r>
          <w:rPr>
            <w:noProof/>
            <w:webHidden/>
          </w:rPr>
          <w:tab/>
        </w:r>
        <w:r>
          <w:rPr>
            <w:noProof/>
            <w:webHidden/>
          </w:rPr>
          <w:fldChar w:fldCharType="begin"/>
        </w:r>
        <w:r>
          <w:rPr>
            <w:noProof/>
            <w:webHidden/>
          </w:rPr>
          <w:instrText xml:space="preserve"> PAGEREF _Toc10017962 \h </w:instrText>
        </w:r>
        <w:r>
          <w:rPr>
            <w:noProof/>
            <w:webHidden/>
          </w:rPr>
        </w:r>
        <w:r>
          <w:rPr>
            <w:noProof/>
            <w:webHidden/>
          </w:rPr>
          <w:fldChar w:fldCharType="separate"/>
        </w:r>
        <w:r>
          <w:rPr>
            <w:noProof/>
            <w:webHidden/>
          </w:rPr>
          <w:t>9</w:t>
        </w:r>
        <w:r>
          <w:rPr>
            <w:noProof/>
            <w:webHidden/>
          </w:rPr>
          <w:fldChar w:fldCharType="end"/>
        </w:r>
      </w:hyperlink>
    </w:p>
    <w:p w:rsidR="00A964EA" w:rsidRDefault="00A964EA">
      <w:pPr>
        <w:pStyle w:val="TableofFigures"/>
        <w:tabs>
          <w:tab w:val="right" w:leader="dot" w:pos="8630"/>
        </w:tabs>
        <w:rPr>
          <w:noProof/>
        </w:rPr>
      </w:pPr>
      <w:hyperlink w:anchor="_Toc10017963" w:history="1">
        <w:r w:rsidRPr="008436FC">
          <w:rPr>
            <w:rStyle w:val="Hyperlink"/>
            <w:rFonts w:ascii="Times New Roman" w:hAnsi="Times New Roman" w:cs="Times New Roman"/>
            <w:b/>
            <w:noProof/>
          </w:rPr>
          <w:t>Hình 5: CSX double-stack train tại cảng Virginia (Mỹ)</w:t>
        </w:r>
        <w:r>
          <w:rPr>
            <w:noProof/>
            <w:webHidden/>
          </w:rPr>
          <w:tab/>
        </w:r>
        <w:r>
          <w:rPr>
            <w:noProof/>
            <w:webHidden/>
          </w:rPr>
          <w:fldChar w:fldCharType="begin"/>
        </w:r>
        <w:r>
          <w:rPr>
            <w:noProof/>
            <w:webHidden/>
          </w:rPr>
          <w:instrText xml:space="preserve"> PAGEREF _Toc10017963 \h </w:instrText>
        </w:r>
        <w:r>
          <w:rPr>
            <w:noProof/>
            <w:webHidden/>
          </w:rPr>
        </w:r>
        <w:r>
          <w:rPr>
            <w:noProof/>
            <w:webHidden/>
          </w:rPr>
          <w:fldChar w:fldCharType="separate"/>
        </w:r>
        <w:r>
          <w:rPr>
            <w:noProof/>
            <w:webHidden/>
          </w:rPr>
          <w:t>10</w:t>
        </w:r>
        <w:r>
          <w:rPr>
            <w:noProof/>
            <w:webHidden/>
          </w:rPr>
          <w:fldChar w:fldCharType="end"/>
        </w:r>
      </w:hyperlink>
    </w:p>
    <w:p w:rsidR="00A964EA" w:rsidRDefault="00A964EA">
      <w:pPr>
        <w:pStyle w:val="TableofFigures"/>
        <w:tabs>
          <w:tab w:val="right" w:leader="dot" w:pos="8630"/>
        </w:tabs>
        <w:rPr>
          <w:noProof/>
        </w:rPr>
      </w:pPr>
      <w:hyperlink w:anchor="_Toc10017964" w:history="1">
        <w:r w:rsidRPr="008436FC">
          <w:rPr>
            <w:rStyle w:val="Hyperlink"/>
            <w:rFonts w:ascii="Times New Roman" w:hAnsi="Times New Roman" w:cs="Times New Roman"/>
            <w:b/>
            <w:noProof/>
          </w:rPr>
          <w:t xml:space="preserve">Hình 6: </w:t>
        </w:r>
        <w:r w:rsidRPr="008436FC">
          <w:rPr>
            <w:rStyle w:val="Hyperlink"/>
            <w:rFonts w:ascii="Times New Roman" w:hAnsi="Times New Roman" w:cs="Times New Roman"/>
            <w:b/>
            <w:bCs/>
            <w:noProof/>
          </w:rPr>
          <w:t>Vận chuyển hàng hóa bằng đường bộ theo tháng</w:t>
        </w:r>
        <w:r>
          <w:rPr>
            <w:noProof/>
            <w:webHidden/>
          </w:rPr>
          <w:tab/>
        </w:r>
        <w:r>
          <w:rPr>
            <w:noProof/>
            <w:webHidden/>
          </w:rPr>
          <w:fldChar w:fldCharType="begin"/>
        </w:r>
        <w:r>
          <w:rPr>
            <w:noProof/>
            <w:webHidden/>
          </w:rPr>
          <w:instrText xml:space="preserve"> PAGEREF _Toc10017964 \h </w:instrText>
        </w:r>
        <w:r>
          <w:rPr>
            <w:noProof/>
            <w:webHidden/>
          </w:rPr>
        </w:r>
        <w:r>
          <w:rPr>
            <w:noProof/>
            <w:webHidden/>
          </w:rPr>
          <w:fldChar w:fldCharType="separate"/>
        </w:r>
        <w:r>
          <w:rPr>
            <w:noProof/>
            <w:webHidden/>
          </w:rPr>
          <w:t>12</w:t>
        </w:r>
        <w:r>
          <w:rPr>
            <w:noProof/>
            <w:webHidden/>
          </w:rPr>
          <w:fldChar w:fldCharType="end"/>
        </w:r>
      </w:hyperlink>
    </w:p>
    <w:p w:rsidR="00A964EA" w:rsidRDefault="00A964EA">
      <w:pPr>
        <w:pStyle w:val="TableofFigures"/>
        <w:tabs>
          <w:tab w:val="right" w:leader="dot" w:pos="8630"/>
        </w:tabs>
        <w:rPr>
          <w:noProof/>
        </w:rPr>
      </w:pPr>
      <w:hyperlink w:anchor="_Toc10017965" w:history="1">
        <w:r w:rsidRPr="008436FC">
          <w:rPr>
            <w:rStyle w:val="Hyperlink"/>
            <w:rFonts w:ascii="Times New Roman" w:hAnsi="Times New Roman" w:cs="Times New Roman"/>
            <w:b/>
            <w:noProof/>
          </w:rPr>
          <w:t xml:space="preserve">Hình 7: </w:t>
        </w:r>
        <w:r w:rsidRPr="008436FC">
          <w:rPr>
            <w:rStyle w:val="Hyperlink"/>
            <w:rFonts w:ascii="Times New Roman" w:hAnsi="Times New Roman" w:cs="Times New Roman"/>
            <w:b/>
            <w:bCs/>
            <w:noProof/>
          </w:rPr>
          <w:t>Vận chuyển hàng hóa bằng đường thủy theo tháng</w:t>
        </w:r>
        <w:r>
          <w:rPr>
            <w:noProof/>
            <w:webHidden/>
          </w:rPr>
          <w:tab/>
        </w:r>
        <w:r>
          <w:rPr>
            <w:noProof/>
            <w:webHidden/>
          </w:rPr>
          <w:fldChar w:fldCharType="begin"/>
        </w:r>
        <w:r>
          <w:rPr>
            <w:noProof/>
            <w:webHidden/>
          </w:rPr>
          <w:instrText xml:space="preserve"> PAGEREF _Toc10017965 \h </w:instrText>
        </w:r>
        <w:r>
          <w:rPr>
            <w:noProof/>
            <w:webHidden/>
          </w:rPr>
        </w:r>
        <w:r>
          <w:rPr>
            <w:noProof/>
            <w:webHidden/>
          </w:rPr>
          <w:fldChar w:fldCharType="separate"/>
        </w:r>
        <w:r>
          <w:rPr>
            <w:noProof/>
            <w:webHidden/>
          </w:rPr>
          <w:t>13</w:t>
        </w:r>
        <w:r>
          <w:rPr>
            <w:noProof/>
            <w:webHidden/>
          </w:rPr>
          <w:fldChar w:fldCharType="end"/>
        </w:r>
      </w:hyperlink>
    </w:p>
    <w:p w:rsidR="00A964EA" w:rsidRDefault="00A964EA">
      <w:pPr>
        <w:pStyle w:val="TableofFigures"/>
        <w:tabs>
          <w:tab w:val="right" w:leader="dot" w:pos="8630"/>
        </w:tabs>
        <w:rPr>
          <w:noProof/>
        </w:rPr>
      </w:pPr>
      <w:hyperlink w:anchor="_Toc10017966" w:history="1">
        <w:r w:rsidRPr="008436FC">
          <w:rPr>
            <w:rStyle w:val="Hyperlink"/>
            <w:rFonts w:ascii="Times New Roman" w:hAnsi="Times New Roman" w:cs="Times New Roman"/>
            <w:b/>
            <w:noProof/>
          </w:rPr>
          <w:t xml:space="preserve">Hình 8: </w:t>
        </w:r>
        <w:r w:rsidRPr="008436FC">
          <w:rPr>
            <w:rStyle w:val="Hyperlink"/>
            <w:rFonts w:ascii="Times New Roman" w:hAnsi="Times New Roman" w:cs="Times New Roman"/>
            <w:b/>
            <w:bCs/>
            <w:noProof/>
          </w:rPr>
          <w:t>Vận chuyển hàng hóa bằng hàng không dân dụng của Trung Quốc (đvt: 10.000 tấn)</w:t>
        </w:r>
        <w:r>
          <w:rPr>
            <w:noProof/>
            <w:webHidden/>
          </w:rPr>
          <w:tab/>
        </w:r>
        <w:r>
          <w:rPr>
            <w:noProof/>
            <w:webHidden/>
          </w:rPr>
          <w:fldChar w:fldCharType="begin"/>
        </w:r>
        <w:r>
          <w:rPr>
            <w:noProof/>
            <w:webHidden/>
          </w:rPr>
          <w:instrText xml:space="preserve"> PAGEREF _Toc10017966 \h </w:instrText>
        </w:r>
        <w:r>
          <w:rPr>
            <w:noProof/>
            <w:webHidden/>
          </w:rPr>
        </w:r>
        <w:r>
          <w:rPr>
            <w:noProof/>
            <w:webHidden/>
          </w:rPr>
          <w:fldChar w:fldCharType="separate"/>
        </w:r>
        <w:r>
          <w:rPr>
            <w:noProof/>
            <w:webHidden/>
          </w:rPr>
          <w:t>14</w:t>
        </w:r>
        <w:r>
          <w:rPr>
            <w:noProof/>
            <w:webHidden/>
          </w:rPr>
          <w:fldChar w:fldCharType="end"/>
        </w:r>
      </w:hyperlink>
    </w:p>
    <w:p w:rsidR="00C45DE0" w:rsidRPr="00697AB7" w:rsidRDefault="009B379A" w:rsidP="00AC37BB">
      <w:pPr>
        <w:spacing w:line="312" w:lineRule="auto"/>
        <w:jc w:val="center"/>
        <w:rPr>
          <w:rFonts w:ascii="Times New Roman" w:hAnsi="Times New Roman" w:cs="Times New Roman"/>
          <w:sz w:val="26"/>
          <w:szCs w:val="26"/>
        </w:rPr>
      </w:pPr>
      <w:r w:rsidRPr="00161A64">
        <w:rPr>
          <w:rFonts w:ascii="Times New Roman" w:hAnsi="Times New Roman" w:cs="Times New Roman"/>
          <w:sz w:val="26"/>
          <w:szCs w:val="26"/>
        </w:rPr>
        <w:fldChar w:fldCharType="end"/>
      </w:r>
    </w:p>
    <w:p w:rsidR="00C45DE0" w:rsidRPr="00697AB7" w:rsidRDefault="00C45DE0" w:rsidP="00AC37BB">
      <w:pPr>
        <w:spacing w:line="312" w:lineRule="auto"/>
        <w:jc w:val="center"/>
        <w:rPr>
          <w:rFonts w:ascii="Times New Roman" w:hAnsi="Times New Roman" w:cs="Times New Roman"/>
          <w:sz w:val="26"/>
          <w:szCs w:val="26"/>
        </w:rPr>
      </w:pPr>
    </w:p>
    <w:p w:rsidR="00C45DE0" w:rsidRPr="00697AB7" w:rsidRDefault="00C45DE0" w:rsidP="00AC37BB">
      <w:pPr>
        <w:spacing w:line="312" w:lineRule="auto"/>
        <w:jc w:val="center"/>
        <w:rPr>
          <w:rFonts w:ascii="Times New Roman" w:hAnsi="Times New Roman" w:cs="Times New Roman"/>
          <w:b/>
          <w:sz w:val="26"/>
          <w:szCs w:val="26"/>
        </w:rPr>
      </w:pPr>
      <w:r w:rsidRPr="00697AB7">
        <w:rPr>
          <w:rFonts w:ascii="Times New Roman" w:hAnsi="Times New Roman" w:cs="Times New Roman"/>
          <w:b/>
          <w:sz w:val="26"/>
          <w:szCs w:val="26"/>
        </w:rPr>
        <w:t>DANH MỤC BẢNG</w:t>
      </w:r>
    </w:p>
    <w:p w:rsidR="00A964EA" w:rsidRPr="00A964EA" w:rsidRDefault="009B379A">
      <w:pPr>
        <w:pStyle w:val="TableofFigures"/>
        <w:tabs>
          <w:tab w:val="right" w:leader="dot" w:pos="8630"/>
        </w:tabs>
        <w:rPr>
          <w:rFonts w:ascii="Times New Roman" w:hAnsi="Times New Roman" w:cs="Times New Roman"/>
          <w:noProof/>
          <w:sz w:val="26"/>
          <w:szCs w:val="26"/>
        </w:rPr>
      </w:pPr>
      <w:r w:rsidRPr="00A964EA">
        <w:rPr>
          <w:rFonts w:ascii="Times New Roman" w:hAnsi="Times New Roman" w:cs="Times New Roman"/>
          <w:sz w:val="26"/>
          <w:szCs w:val="26"/>
        </w:rPr>
        <w:fldChar w:fldCharType="begin"/>
      </w:r>
      <w:r w:rsidR="00C45DE0" w:rsidRPr="00A964EA">
        <w:rPr>
          <w:rFonts w:ascii="Times New Roman" w:hAnsi="Times New Roman" w:cs="Times New Roman"/>
          <w:sz w:val="26"/>
          <w:szCs w:val="26"/>
        </w:rPr>
        <w:instrText xml:space="preserve"> TOC \h \z \c "Bảng" </w:instrText>
      </w:r>
      <w:r w:rsidRPr="00A964EA">
        <w:rPr>
          <w:rFonts w:ascii="Times New Roman" w:hAnsi="Times New Roman" w:cs="Times New Roman"/>
          <w:sz w:val="26"/>
          <w:szCs w:val="26"/>
        </w:rPr>
        <w:fldChar w:fldCharType="separate"/>
      </w:r>
      <w:hyperlink w:anchor="_Toc10017974" w:history="1">
        <w:r w:rsidR="00A964EA" w:rsidRPr="00A964EA">
          <w:rPr>
            <w:rStyle w:val="Hyperlink"/>
            <w:rFonts w:ascii="Times New Roman" w:hAnsi="Times New Roman" w:cs="Times New Roman"/>
            <w:b/>
            <w:iCs/>
            <w:noProof/>
            <w:sz w:val="26"/>
            <w:szCs w:val="26"/>
          </w:rPr>
          <w:t>Bảng 1:</w:t>
        </w:r>
        <w:r w:rsidR="00A964EA" w:rsidRPr="00A964EA">
          <w:rPr>
            <w:rStyle w:val="Hyperlink"/>
            <w:rFonts w:ascii="Times New Roman" w:hAnsi="Times New Roman" w:cs="Times New Roman"/>
            <w:b/>
            <w:i/>
            <w:iCs/>
            <w:noProof/>
            <w:sz w:val="26"/>
            <w:szCs w:val="26"/>
          </w:rPr>
          <w:t xml:space="preserve"> </w:t>
        </w:r>
        <w:r w:rsidR="00A964EA" w:rsidRPr="00A964EA">
          <w:rPr>
            <w:rStyle w:val="Hyperlink"/>
            <w:rFonts w:ascii="Times New Roman" w:hAnsi="Times New Roman" w:cs="Times New Roman"/>
            <w:b/>
            <w:iCs/>
            <w:noProof/>
            <w:sz w:val="26"/>
            <w:szCs w:val="26"/>
          </w:rPr>
          <w:t>Các chỉ tiêu vận chuyển hàng hóa của Trung Quốc 4 tháng đầu năm 2019</w:t>
        </w:r>
        <w:r w:rsidR="00A964EA" w:rsidRPr="00A964EA">
          <w:rPr>
            <w:rFonts w:ascii="Times New Roman" w:hAnsi="Times New Roman" w:cs="Times New Roman"/>
            <w:noProof/>
            <w:webHidden/>
            <w:sz w:val="26"/>
            <w:szCs w:val="26"/>
          </w:rPr>
          <w:tab/>
        </w:r>
        <w:r w:rsidR="00A964EA" w:rsidRPr="00A964EA">
          <w:rPr>
            <w:rFonts w:ascii="Times New Roman" w:hAnsi="Times New Roman" w:cs="Times New Roman"/>
            <w:noProof/>
            <w:webHidden/>
            <w:sz w:val="26"/>
            <w:szCs w:val="26"/>
          </w:rPr>
          <w:fldChar w:fldCharType="begin"/>
        </w:r>
        <w:r w:rsidR="00A964EA" w:rsidRPr="00A964EA">
          <w:rPr>
            <w:rFonts w:ascii="Times New Roman" w:hAnsi="Times New Roman" w:cs="Times New Roman"/>
            <w:noProof/>
            <w:webHidden/>
            <w:sz w:val="26"/>
            <w:szCs w:val="26"/>
          </w:rPr>
          <w:instrText xml:space="preserve"> PAGEREF _Toc10017974 \h </w:instrText>
        </w:r>
        <w:r w:rsidR="00A964EA" w:rsidRPr="00A964EA">
          <w:rPr>
            <w:rFonts w:ascii="Times New Roman" w:hAnsi="Times New Roman" w:cs="Times New Roman"/>
            <w:noProof/>
            <w:webHidden/>
            <w:sz w:val="26"/>
            <w:szCs w:val="26"/>
          </w:rPr>
        </w:r>
        <w:r w:rsidR="00A964EA" w:rsidRPr="00A964EA">
          <w:rPr>
            <w:rFonts w:ascii="Times New Roman" w:hAnsi="Times New Roman" w:cs="Times New Roman"/>
            <w:noProof/>
            <w:webHidden/>
            <w:sz w:val="26"/>
            <w:szCs w:val="26"/>
          </w:rPr>
          <w:fldChar w:fldCharType="separate"/>
        </w:r>
        <w:r w:rsidR="00A964EA">
          <w:rPr>
            <w:rFonts w:ascii="Times New Roman" w:hAnsi="Times New Roman" w:cs="Times New Roman"/>
            <w:noProof/>
            <w:webHidden/>
            <w:sz w:val="26"/>
            <w:szCs w:val="26"/>
          </w:rPr>
          <w:t>8</w:t>
        </w:r>
        <w:r w:rsidR="00A964EA" w:rsidRPr="00A964EA">
          <w:rPr>
            <w:rFonts w:ascii="Times New Roman" w:hAnsi="Times New Roman" w:cs="Times New Roman"/>
            <w:noProof/>
            <w:webHidden/>
            <w:sz w:val="26"/>
            <w:szCs w:val="26"/>
          </w:rPr>
          <w:fldChar w:fldCharType="end"/>
        </w:r>
      </w:hyperlink>
    </w:p>
    <w:p w:rsidR="00C45DE0" w:rsidRPr="00A90838" w:rsidRDefault="009B379A" w:rsidP="00AC37BB">
      <w:pPr>
        <w:spacing w:line="312" w:lineRule="auto"/>
        <w:jc w:val="center"/>
        <w:rPr>
          <w:rFonts w:ascii="Times New Roman" w:hAnsi="Times New Roman" w:cs="Times New Roman"/>
          <w:sz w:val="24"/>
          <w:szCs w:val="24"/>
        </w:rPr>
      </w:pPr>
      <w:r w:rsidRPr="00A964EA">
        <w:rPr>
          <w:rFonts w:ascii="Times New Roman" w:hAnsi="Times New Roman" w:cs="Times New Roman"/>
          <w:sz w:val="26"/>
          <w:szCs w:val="26"/>
        </w:rPr>
        <w:fldChar w:fldCharType="end"/>
      </w:r>
    </w:p>
    <w:bookmarkEnd w:id="0"/>
    <w:p w:rsidR="00C45DE0" w:rsidRPr="00A90838" w:rsidRDefault="00C45DE0" w:rsidP="00AC37BB">
      <w:pPr>
        <w:spacing w:line="312" w:lineRule="auto"/>
        <w:jc w:val="center"/>
        <w:rPr>
          <w:rFonts w:ascii="Times New Roman" w:hAnsi="Times New Roman" w:cs="Times New Roman"/>
          <w:b/>
          <w:sz w:val="24"/>
          <w:szCs w:val="24"/>
        </w:rPr>
      </w:pPr>
    </w:p>
    <w:p w:rsidR="00C45DE0" w:rsidRPr="00A90838" w:rsidRDefault="00C45DE0"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Pr="00A90838" w:rsidRDefault="00A90838" w:rsidP="00AC37BB">
      <w:pPr>
        <w:spacing w:line="312" w:lineRule="auto"/>
        <w:jc w:val="center"/>
        <w:rPr>
          <w:rFonts w:ascii="Times New Roman" w:hAnsi="Times New Roman" w:cs="Times New Roman"/>
          <w:b/>
          <w:sz w:val="24"/>
          <w:szCs w:val="24"/>
        </w:rPr>
      </w:pPr>
    </w:p>
    <w:p w:rsidR="00A90838" w:rsidRDefault="00A90838"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923A7" w:rsidRDefault="00A923A7" w:rsidP="00AC37BB">
      <w:pPr>
        <w:spacing w:line="312" w:lineRule="auto"/>
        <w:jc w:val="center"/>
        <w:rPr>
          <w:rFonts w:ascii="Times New Roman" w:hAnsi="Times New Roman" w:cs="Times New Roman"/>
          <w:b/>
          <w:sz w:val="26"/>
          <w:szCs w:val="26"/>
        </w:rPr>
      </w:pPr>
    </w:p>
    <w:p w:rsidR="00B93786" w:rsidRDefault="00B93786" w:rsidP="00AC37BB">
      <w:pPr>
        <w:spacing w:line="312" w:lineRule="auto"/>
        <w:jc w:val="center"/>
        <w:rPr>
          <w:rFonts w:ascii="Times New Roman" w:hAnsi="Times New Roman" w:cs="Times New Roman"/>
          <w:b/>
          <w:sz w:val="26"/>
          <w:szCs w:val="26"/>
        </w:rPr>
      </w:pPr>
    </w:p>
    <w:p w:rsidR="00A923A7" w:rsidRDefault="00A923A7" w:rsidP="00B93786">
      <w:pPr>
        <w:spacing w:line="312" w:lineRule="auto"/>
        <w:rPr>
          <w:rFonts w:ascii="Times New Roman" w:hAnsi="Times New Roman" w:cs="Times New Roman"/>
          <w:b/>
          <w:sz w:val="26"/>
          <w:szCs w:val="26"/>
        </w:rPr>
      </w:pPr>
    </w:p>
    <w:p w:rsidR="009C5405" w:rsidRDefault="009C5405" w:rsidP="00A964EA">
      <w:pPr>
        <w:spacing w:line="312" w:lineRule="auto"/>
        <w:rPr>
          <w:rFonts w:ascii="Times New Roman" w:hAnsi="Times New Roman" w:cs="Times New Roman"/>
          <w:b/>
          <w:sz w:val="26"/>
          <w:szCs w:val="26"/>
        </w:rPr>
      </w:pPr>
    </w:p>
    <w:p w:rsidR="00C45DE0" w:rsidRDefault="00C45DE0" w:rsidP="00A9083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A301FE" w:rsidRDefault="00A301FE" w:rsidP="00A301FE">
      <w:pPr>
        <w:spacing w:before="120" w:after="120" w:line="312" w:lineRule="auto"/>
        <w:ind w:firstLine="720"/>
        <w:jc w:val="both"/>
        <w:rPr>
          <w:rFonts w:ascii="Times New Roman" w:hAnsi="Times New Roman" w:cs="Times New Roman"/>
          <w:i/>
          <w:sz w:val="26"/>
          <w:szCs w:val="26"/>
        </w:rPr>
      </w:pPr>
      <w:r w:rsidRPr="00A301FE">
        <w:rPr>
          <w:rFonts w:ascii="Times New Roman" w:hAnsi="Times New Roman" w:cs="Times New Roman"/>
          <w:i/>
          <w:sz w:val="26"/>
          <w:szCs w:val="26"/>
          <w:u w:val="single"/>
        </w:rPr>
        <w:t>Tóm tắt:</w:t>
      </w:r>
      <w:r>
        <w:rPr>
          <w:rFonts w:ascii="Times New Roman" w:hAnsi="Times New Roman" w:cs="Times New Roman"/>
          <w:i/>
          <w:sz w:val="26"/>
          <w:szCs w:val="26"/>
        </w:rPr>
        <w:t xml:space="preserve"> </w:t>
      </w:r>
    </w:p>
    <w:p w:rsidR="00A301FE" w:rsidRDefault="00A301FE" w:rsidP="00A301FE">
      <w:pPr>
        <w:spacing w:before="120" w:after="120" w:line="312" w:lineRule="auto"/>
        <w:ind w:firstLine="720"/>
        <w:jc w:val="both"/>
        <w:rPr>
          <w:rFonts w:ascii="Times New Roman" w:hAnsi="Times New Roman" w:cs="Times New Roman"/>
          <w:sz w:val="26"/>
          <w:szCs w:val="26"/>
        </w:rPr>
      </w:pPr>
      <w:proofErr w:type="gramStart"/>
      <w:r w:rsidRPr="00A301FE">
        <w:rPr>
          <w:rFonts w:ascii="Times New Roman" w:hAnsi="Times New Roman" w:cs="Times New Roman"/>
          <w:i/>
          <w:sz w:val="26"/>
          <w:szCs w:val="26"/>
        </w:rPr>
        <w:t>Đến tháng 4/2019, các chỉ số về logistics của Trung Quốc vẫn cơ bản khả quan.</w:t>
      </w:r>
      <w:proofErr w:type="gramEnd"/>
      <w:r w:rsidRPr="00A301FE">
        <w:rPr>
          <w:rFonts w:ascii="Times New Roman" w:hAnsi="Times New Roman" w:cs="Times New Roman"/>
          <w:i/>
          <w:sz w:val="26"/>
          <w:szCs w:val="26"/>
        </w:rPr>
        <w:t xml:space="preserve"> Tuy nhiên, theo đánh giá của các chuyên gia Trung Quốc và quốc tế, nếu cuộc chiến thương mại giữa Mỹ và Trung Quốc kéo dài và mở rộng hơn nữa, ngành kho vận nói riêng và toàn bộ ngành logistics của Trung Quốc sẽ bị ảnh hưởng nghiêm trọng trong thời gian tới.</w:t>
      </w:r>
      <w:r w:rsidRPr="00A301FE">
        <w:rPr>
          <w:rFonts w:ascii="Times New Roman" w:hAnsi="Times New Roman" w:cs="Times New Roman"/>
          <w:sz w:val="26"/>
          <w:szCs w:val="26"/>
        </w:rPr>
        <w:t xml:space="preserve">  </w:t>
      </w:r>
    </w:p>
    <w:p w:rsidR="00A301FE" w:rsidRPr="00A301FE" w:rsidRDefault="00A301FE" w:rsidP="00A301FE">
      <w:pPr>
        <w:spacing w:before="120" w:after="120" w:line="312" w:lineRule="auto"/>
        <w:ind w:firstLine="720"/>
        <w:jc w:val="both"/>
        <w:rPr>
          <w:rFonts w:ascii="Times New Roman" w:hAnsi="Times New Roman" w:cs="Times New Roman"/>
          <w:i/>
          <w:sz w:val="26"/>
          <w:szCs w:val="26"/>
        </w:rPr>
      </w:pPr>
      <w:r w:rsidRPr="00A301FE">
        <w:rPr>
          <w:rFonts w:ascii="Times New Roman" w:hAnsi="Times New Roman" w:cs="Times New Roman"/>
          <w:i/>
          <w:sz w:val="26"/>
          <w:szCs w:val="26"/>
        </w:rPr>
        <w:t>Các công ty logistics xuyên biên giới (phần lớn thuộc sở hữu của Trung Quốc) đã ghi nhận số lượng các đơn hàng dịch chuyển nhà máy lớn chưa từng có từ Trung Quốc sang các nước lân cận để tránh áp lực thuế từ Hoa Kỳ.</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634782"/>
      <w:r w:rsidRPr="00105E9D">
        <w:rPr>
          <w:rFonts w:ascii="Times New Roman" w:hAnsi="Times New Roman" w:cs="Times New Roman"/>
          <w:b/>
          <w:sz w:val="26"/>
          <w:szCs w:val="26"/>
        </w:rPr>
        <w:t>Tình hình chung</w:t>
      </w:r>
      <w:bookmarkEnd w:id="1"/>
    </w:p>
    <w:p w:rsidR="00BD622A" w:rsidRPr="004A6C44" w:rsidRDefault="00392A7A" w:rsidP="004A6C44">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634783"/>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216A7D" w:rsidRDefault="00216A7D" w:rsidP="00216A7D">
      <w:pPr>
        <w:spacing w:before="120" w:after="120" w:line="312" w:lineRule="auto"/>
        <w:ind w:firstLine="720"/>
        <w:jc w:val="both"/>
        <w:rPr>
          <w:rFonts w:ascii="Times New Roman" w:hAnsi="Times New Roman" w:cs="Times New Roman"/>
          <w:sz w:val="26"/>
          <w:szCs w:val="26"/>
        </w:rPr>
      </w:pPr>
      <w:r w:rsidRPr="00216A7D">
        <w:rPr>
          <w:rFonts w:ascii="Times New Roman" w:hAnsi="Times New Roman" w:cs="Times New Roman"/>
          <w:sz w:val="26"/>
          <w:szCs w:val="26"/>
        </w:rPr>
        <w:t>Theo Hiệp hội logistics và mua hàng Trung Quốc, chỉ số thịnh vượng logistics của Trung Quốc- China Logistics Prosperity Index (LPI) đạt 53</w:t>
      </w:r>
      <w:proofErr w:type="gramStart"/>
      <w:r w:rsidRPr="00216A7D">
        <w:rPr>
          <w:rFonts w:ascii="Times New Roman" w:hAnsi="Times New Roman" w:cs="Times New Roman"/>
          <w:sz w:val="26"/>
          <w:szCs w:val="26"/>
        </w:rPr>
        <w:t>,5</w:t>
      </w:r>
      <w:proofErr w:type="gramEnd"/>
      <w:r w:rsidRPr="00216A7D">
        <w:rPr>
          <w:rFonts w:ascii="Times New Roman" w:hAnsi="Times New Roman" w:cs="Times New Roman"/>
          <w:sz w:val="26"/>
          <w:szCs w:val="26"/>
        </w:rPr>
        <w:t xml:space="preserve"> trong tháng 4/2019, tăng so với mứ</w:t>
      </w:r>
      <w:r w:rsidR="00A301FE">
        <w:rPr>
          <w:rFonts w:ascii="Times New Roman" w:hAnsi="Times New Roman" w:cs="Times New Roman"/>
          <w:sz w:val="26"/>
          <w:szCs w:val="26"/>
        </w:rPr>
        <w:t>c 52,</w:t>
      </w:r>
      <w:r w:rsidRPr="00216A7D">
        <w:rPr>
          <w:rFonts w:ascii="Times New Roman" w:hAnsi="Times New Roman" w:cs="Times New Roman"/>
          <w:sz w:val="26"/>
          <w:szCs w:val="26"/>
        </w:rPr>
        <w:t>6 trong tháng 3/2019</w:t>
      </w:r>
    </w:p>
    <w:p w:rsidR="003A2FBB" w:rsidRPr="00216A7D" w:rsidRDefault="00216A7D" w:rsidP="00216A7D">
      <w:pPr>
        <w:spacing w:before="120" w:after="120" w:line="312" w:lineRule="auto"/>
        <w:ind w:firstLine="720"/>
        <w:jc w:val="both"/>
        <w:rPr>
          <w:rFonts w:ascii="Times New Roman" w:hAnsi="Times New Roman" w:cs="Times New Roman"/>
          <w:sz w:val="26"/>
          <w:szCs w:val="26"/>
        </w:rPr>
      </w:pPr>
      <w:r w:rsidRPr="00216A7D">
        <w:rPr>
          <w:rFonts w:ascii="Times New Roman" w:hAnsi="Times New Roman" w:cs="Times New Roman"/>
          <w:i/>
          <w:iCs/>
          <w:sz w:val="26"/>
          <w:szCs w:val="26"/>
        </w:rPr>
        <w:t>T</w:t>
      </w:r>
      <w:r w:rsidR="003A2FBB" w:rsidRPr="00216A7D">
        <w:rPr>
          <w:rFonts w:ascii="Times New Roman" w:hAnsi="Times New Roman" w:cs="Times New Roman"/>
          <w:i/>
          <w:iCs/>
          <w:sz w:val="26"/>
          <w:szCs w:val="26"/>
        </w:rPr>
        <w:t xml:space="preserve">ăng trưởng trong hoạt động </w:t>
      </w:r>
      <w:r w:rsidR="00A301FE">
        <w:rPr>
          <w:rFonts w:ascii="Times New Roman" w:hAnsi="Times New Roman" w:cs="Times New Roman"/>
          <w:i/>
          <w:iCs/>
          <w:sz w:val="26"/>
          <w:szCs w:val="26"/>
        </w:rPr>
        <w:t>logistics</w:t>
      </w:r>
    </w:p>
    <w:p w:rsidR="003A2FBB" w:rsidRPr="003A2FBB" w:rsidRDefault="00216A7D" w:rsidP="003A2FBB">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T</w:t>
      </w:r>
      <w:r w:rsidRPr="003A2FBB">
        <w:rPr>
          <w:rFonts w:ascii="Times New Roman" w:hAnsi="Times New Roman" w:cs="Times New Roman"/>
          <w:iCs/>
          <w:sz w:val="26"/>
          <w:szCs w:val="26"/>
        </w:rPr>
        <w:t>rong tháng 4</w:t>
      </w:r>
      <w:r>
        <w:rPr>
          <w:rFonts w:ascii="Times New Roman" w:hAnsi="Times New Roman" w:cs="Times New Roman"/>
          <w:iCs/>
          <w:sz w:val="26"/>
          <w:szCs w:val="26"/>
        </w:rPr>
        <w:t>/2019, c</w:t>
      </w:r>
      <w:r w:rsidR="003A2FBB" w:rsidRPr="003A2FBB">
        <w:rPr>
          <w:rFonts w:ascii="Times New Roman" w:hAnsi="Times New Roman" w:cs="Times New Roman"/>
          <w:iCs/>
          <w:sz w:val="26"/>
          <w:szCs w:val="26"/>
        </w:rPr>
        <w:t>hỉ số khối lượng kinh doanh tăng trong tháng thứ hai liên tiế</w:t>
      </w:r>
      <w:r>
        <w:rPr>
          <w:rFonts w:ascii="Times New Roman" w:hAnsi="Times New Roman" w:cs="Times New Roman"/>
          <w:iCs/>
          <w:sz w:val="26"/>
          <w:szCs w:val="26"/>
        </w:rPr>
        <w:t>p, tăng 0</w:t>
      </w:r>
      <w:proofErr w:type="gramStart"/>
      <w:r>
        <w:rPr>
          <w:rFonts w:ascii="Times New Roman" w:hAnsi="Times New Roman" w:cs="Times New Roman"/>
          <w:iCs/>
          <w:sz w:val="26"/>
          <w:szCs w:val="26"/>
        </w:rPr>
        <w:t>,9</w:t>
      </w:r>
      <w:proofErr w:type="gramEnd"/>
      <w:r>
        <w:rPr>
          <w:rFonts w:ascii="Times New Roman" w:hAnsi="Times New Roman" w:cs="Times New Roman"/>
          <w:iCs/>
          <w:sz w:val="26"/>
          <w:szCs w:val="26"/>
        </w:rPr>
        <w:t xml:space="preserve"> điểm phần trăm </w:t>
      </w:r>
      <w:r w:rsidR="003A2FBB" w:rsidRPr="003A2FBB">
        <w:rPr>
          <w:rFonts w:ascii="Times New Roman" w:hAnsi="Times New Roman" w:cs="Times New Roman"/>
          <w:iCs/>
          <w:sz w:val="26"/>
          <w:szCs w:val="26"/>
        </w:rPr>
        <w:t xml:space="preserve">so với tháng trước lên 53,5, cho thấy sự tăng tốc liên tục các hoạt động </w:t>
      </w:r>
      <w:r w:rsidR="00A301FE">
        <w:rPr>
          <w:rFonts w:ascii="Times New Roman" w:hAnsi="Times New Roman" w:cs="Times New Roman"/>
          <w:iCs/>
          <w:sz w:val="26"/>
          <w:szCs w:val="26"/>
        </w:rPr>
        <w:t>logistics</w:t>
      </w:r>
      <w:r w:rsidR="003A2FBB" w:rsidRPr="003A2FBB">
        <w:rPr>
          <w:rFonts w:ascii="Times New Roman" w:hAnsi="Times New Roman" w:cs="Times New Roman"/>
          <w:iCs/>
          <w:sz w:val="26"/>
          <w:szCs w:val="26"/>
        </w:rPr>
        <w:t>. Trong khi đó, chỉ số đơn đặt hàng mới tăng 0</w:t>
      </w:r>
      <w:proofErr w:type="gramStart"/>
      <w:r w:rsidR="003A2FBB" w:rsidRPr="003A2FBB">
        <w:rPr>
          <w:rFonts w:ascii="Times New Roman" w:hAnsi="Times New Roman" w:cs="Times New Roman"/>
          <w:iCs/>
          <w:sz w:val="26"/>
          <w:szCs w:val="26"/>
        </w:rPr>
        <w:t>,7</w:t>
      </w:r>
      <w:proofErr w:type="gramEnd"/>
      <w:r w:rsidR="003A2FBB" w:rsidRPr="003A2FBB">
        <w:rPr>
          <w:rFonts w:ascii="Times New Roman" w:hAnsi="Times New Roman" w:cs="Times New Roman"/>
          <w:iCs/>
          <w:sz w:val="26"/>
          <w:szCs w:val="26"/>
        </w:rPr>
        <w:t xml:space="preserve"> </w:t>
      </w:r>
      <w:r>
        <w:rPr>
          <w:rFonts w:ascii="Times New Roman" w:hAnsi="Times New Roman" w:cs="Times New Roman"/>
          <w:iCs/>
          <w:sz w:val="26"/>
          <w:szCs w:val="26"/>
        </w:rPr>
        <w:t xml:space="preserve">điểm phần trăm </w:t>
      </w:r>
      <w:r w:rsidR="003A2FBB" w:rsidRPr="003A2FBB">
        <w:rPr>
          <w:rFonts w:ascii="Times New Roman" w:hAnsi="Times New Roman" w:cs="Times New Roman"/>
          <w:iCs/>
          <w:sz w:val="26"/>
          <w:szCs w:val="26"/>
        </w:rPr>
        <w:t xml:space="preserve">lên 55,2 trong tháng 4, cho thấy nhu cầu dịch vụ </w:t>
      </w:r>
      <w:r w:rsidR="00A301FE">
        <w:rPr>
          <w:rFonts w:ascii="Times New Roman" w:hAnsi="Times New Roman" w:cs="Times New Roman"/>
          <w:iCs/>
          <w:sz w:val="26"/>
          <w:szCs w:val="26"/>
        </w:rPr>
        <w:t>logistics</w:t>
      </w:r>
      <w:r w:rsidR="003A2FBB" w:rsidRPr="003A2FBB">
        <w:rPr>
          <w:rFonts w:ascii="Times New Roman" w:hAnsi="Times New Roman" w:cs="Times New Roman"/>
          <w:iCs/>
          <w:sz w:val="26"/>
          <w:szCs w:val="26"/>
        </w:rPr>
        <w:t xml:space="preserve"> tiếp tục tăng và xu hướng tăng trưởng ổn định trong lĩnh vực </w:t>
      </w:r>
      <w:r w:rsidR="00A301FE">
        <w:rPr>
          <w:rFonts w:ascii="Times New Roman" w:hAnsi="Times New Roman" w:cs="Times New Roman"/>
          <w:iCs/>
          <w:sz w:val="26"/>
          <w:szCs w:val="26"/>
        </w:rPr>
        <w:t>này</w:t>
      </w:r>
      <w:r w:rsidR="003A2FBB" w:rsidRPr="003A2FBB">
        <w:rPr>
          <w:rFonts w:ascii="Times New Roman" w:hAnsi="Times New Roman" w:cs="Times New Roman"/>
          <w:iCs/>
          <w:sz w:val="26"/>
          <w:szCs w:val="26"/>
        </w:rPr>
        <w:t>.</w:t>
      </w:r>
    </w:p>
    <w:p w:rsidR="003A2FBB" w:rsidRPr="00216A7D" w:rsidRDefault="003A2FBB" w:rsidP="003A2FBB">
      <w:pPr>
        <w:spacing w:line="312" w:lineRule="auto"/>
        <w:ind w:firstLine="720"/>
        <w:jc w:val="both"/>
        <w:rPr>
          <w:rFonts w:ascii="Times New Roman" w:hAnsi="Times New Roman" w:cs="Times New Roman"/>
          <w:i/>
          <w:iCs/>
          <w:sz w:val="26"/>
          <w:szCs w:val="26"/>
        </w:rPr>
      </w:pPr>
      <w:r w:rsidRPr="00216A7D">
        <w:rPr>
          <w:rFonts w:ascii="Times New Roman" w:hAnsi="Times New Roman" w:cs="Times New Roman"/>
          <w:i/>
          <w:iCs/>
          <w:sz w:val="26"/>
          <w:szCs w:val="26"/>
        </w:rPr>
        <w:t xml:space="preserve">Hàng tồn kho trung bình giảm trong khi doanh </w:t>
      </w:r>
      <w:proofErr w:type="gramStart"/>
      <w:r w:rsidRPr="00216A7D">
        <w:rPr>
          <w:rFonts w:ascii="Times New Roman" w:hAnsi="Times New Roman" w:cs="Times New Roman"/>
          <w:i/>
          <w:iCs/>
          <w:sz w:val="26"/>
          <w:szCs w:val="26"/>
        </w:rPr>
        <w:t>thu</w:t>
      </w:r>
      <w:proofErr w:type="gramEnd"/>
      <w:r w:rsidRPr="00216A7D">
        <w:rPr>
          <w:rFonts w:ascii="Times New Roman" w:hAnsi="Times New Roman" w:cs="Times New Roman"/>
          <w:i/>
          <w:iCs/>
          <w:sz w:val="26"/>
          <w:szCs w:val="26"/>
        </w:rPr>
        <w:t xml:space="preserve"> hàng tồn kho tăng</w:t>
      </w:r>
    </w:p>
    <w:p w:rsidR="003A2FBB" w:rsidRPr="003A2FBB" w:rsidRDefault="003A2FBB" w:rsidP="003A2FBB">
      <w:pPr>
        <w:spacing w:line="312" w:lineRule="auto"/>
        <w:ind w:firstLine="720"/>
        <w:jc w:val="both"/>
        <w:rPr>
          <w:rFonts w:ascii="Times New Roman" w:hAnsi="Times New Roman" w:cs="Times New Roman"/>
          <w:iCs/>
          <w:sz w:val="26"/>
          <w:szCs w:val="26"/>
        </w:rPr>
      </w:pPr>
      <w:r w:rsidRPr="003A2FBB">
        <w:rPr>
          <w:rFonts w:ascii="Times New Roman" w:hAnsi="Times New Roman" w:cs="Times New Roman"/>
          <w:iCs/>
          <w:sz w:val="26"/>
          <w:szCs w:val="26"/>
        </w:rPr>
        <w:t>Chỉ số hàng tồn kho trung bình giảm 2</w:t>
      </w:r>
      <w:proofErr w:type="gramStart"/>
      <w:r w:rsidRPr="003A2FBB">
        <w:rPr>
          <w:rFonts w:ascii="Times New Roman" w:hAnsi="Times New Roman" w:cs="Times New Roman"/>
          <w:iCs/>
          <w:sz w:val="26"/>
          <w:szCs w:val="26"/>
        </w:rPr>
        <w:t>,0</w:t>
      </w:r>
      <w:proofErr w:type="gramEnd"/>
      <w:r w:rsidRPr="003A2FBB">
        <w:rPr>
          <w:rFonts w:ascii="Times New Roman" w:hAnsi="Times New Roman" w:cs="Times New Roman"/>
          <w:iCs/>
          <w:sz w:val="26"/>
          <w:szCs w:val="26"/>
        </w:rPr>
        <w:t xml:space="preserve"> điểm xuống 49,3 trong tháng 4</w:t>
      </w:r>
      <w:r w:rsidR="00216A7D">
        <w:rPr>
          <w:rFonts w:ascii="Times New Roman" w:hAnsi="Times New Roman" w:cs="Times New Roman"/>
          <w:iCs/>
          <w:sz w:val="26"/>
          <w:szCs w:val="26"/>
        </w:rPr>
        <w:t>/2019</w:t>
      </w:r>
      <w:r w:rsidRPr="003A2FBB">
        <w:rPr>
          <w:rFonts w:ascii="Times New Roman" w:hAnsi="Times New Roman" w:cs="Times New Roman"/>
          <w:iCs/>
          <w:sz w:val="26"/>
          <w:szCs w:val="26"/>
        </w:rPr>
        <w:t>, trong khi chỉ số vòng quay hàng tồn kho tăng 2,7 điểm lên 55,0, cho thấy nhu cầu của người tiêu dùng tăng, từ đó làm giảm hàng tồn kho trong kho.</w:t>
      </w:r>
    </w:p>
    <w:p w:rsidR="003A2FBB" w:rsidRPr="00216A7D" w:rsidRDefault="003A2FBB" w:rsidP="003A2FBB">
      <w:pPr>
        <w:spacing w:line="312" w:lineRule="auto"/>
        <w:ind w:firstLine="720"/>
        <w:jc w:val="both"/>
        <w:rPr>
          <w:rFonts w:ascii="Times New Roman" w:hAnsi="Times New Roman" w:cs="Times New Roman"/>
          <w:i/>
          <w:iCs/>
          <w:sz w:val="26"/>
          <w:szCs w:val="26"/>
        </w:rPr>
      </w:pPr>
      <w:r w:rsidRPr="00216A7D">
        <w:rPr>
          <w:rFonts w:ascii="Times New Roman" w:hAnsi="Times New Roman" w:cs="Times New Roman"/>
          <w:i/>
          <w:iCs/>
          <w:sz w:val="26"/>
          <w:szCs w:val="26"/>
        </w:rPr>
        <w:t>Chỉ số dòng tiền tăng mạnh</w:t>
      </w:r>
    </w:p>
    <w:p w:rsidR="003A2FBB" w:rsidRPr="003A2FBB" w:rsidRDefault="003A2FBB" w:rsidP="003A2FBB">
      <w:pPr>
        <w:spacing w:line="312" w:lineRule="auto"/>
        <w:ind w:firstLine="720"/>
        <w:jc w:val="both"/>
        <w:rPr>
          <w:rFonts w:ascii="Times New Roman" w:hAnsi="Times New Roman" w:cs="Times New Roman"/>
          <w:iCs/>
          <w:sz w:val="26"/>
          <w:szCs w:val="26"/>
        </w:rPr>
      </w:pPr>
      <w:r w:rsidRPr="003A2FBB">
        <w:rPr>
          <w:rFonts w:ascii="Times New Roman" w:hAnsi="Times New Roman" w:cs="Times New Roman"/>
          <w:iCs/>
          <w:sz w:val="26"/>
          <w:szCs w:val="26"/>
        </w:rPr>
        <w:t>Chỉ số dòng tiền tiếp tục tăng lên 55</w:t>
      </w:r>
      <w:proofErr w:type="gramStart"/>
      <w:r w:rsidRPr="003A2FBB">
        <w:rPr>
          <w:rFonts w:ascii="Times New Roman" w:hAnsi="Times New Roman" w:cs="Times New Roman"/>
          <w:iCs/>
          <w:sz w:val="26"/>
          <w:szCs w:val="26"/>
        </w:rPr>
        <w:t>,0</w:t>
      </w:r>
      <w:proofErr w:type="gramEnd"/>
      <w:r w:rsidRPr="003A2FBB">
        <w:rPr>
          <w:rFonts w:ascii="Times New Roman" w:hAnsi="Times New Roman" w:cs="Times New Roman"/>
          <w:iCs/>
          <w:sz w:val="26"/>
          <w:szCs w:val="26"/>
        </w:rPr>
        <w:t xml:space="preserve"> trong tháng 4</w:t>
      </w:r>
      <w:r w:rsidR="00216A7D">
        <w:rPr>
          <w:rFonts w:ascii="Times New Roman" w:hAnsi="Times New Roman" w:cs="Times New Roman"/>
          <w:iCs/>
          <w:sz w:val="26"/>
          <w:szCs w:val="26"/>
        </w:rPr>
        <w:t>/2019</w:t>
      </w:r>
      <w:r w:rsidRPr="003A2FBB">
        <w:rPr>
          <w:rFonts w:ascii="Times New Roman" w:hAnsi="Times New Roman" w:cs="Times New Roman"/>
          <w:iCs/>
          <w:sz w:val="26"/>
          <w:szCs w:val="26"/>
        </w:rPr>
        <w:t>, tăng 2,7 điểm so với tháng trướ</w:t>
      </w:r>
      <w:r w:rsidR="00216A7D">
        <w:rPr>
          <w:rFonts w:ascii="Times New Roman" w:hAnsi="Times New Roman" w:cs="Times New Roman"/>
          <w:iCs/>
          <w:sz w:val="26"/>
          <w:szCs w:val="26"/>
        </w:rPr>
        <w:t>c, ch</w:t>
      </w:r>
      <w:r w:rsidRPr="003A2FBB">
        <w:rPr>
          <w:rFonts w:ascii="Times New Roman" w:hAnsi="Times New Roman" w:cs="Times New Roman"/>
          <w:iCs/>
          <w:sz w:val="26"/>
          <w:szCs w:val="26"/>
        </w:rPr>
        <w:t xml:space="preserve">o thấy sự cải thiện về khả năng sẵn có của quỹ với việc thực </w:t>
      </w:r>
      <w:r w:rsidRPr="003A2FBB">
        <w:rPr>
          <w:rFonts w:ascii="Times New Roman" w:hAnsi="Times New Roman" w:cs="Times New Roman"/>
          <w:iCs/>
          <w:sz w:val="26"/>
          <w:szCs w:val="26"/>
        </w:rPr>
        <w:lastRenderedPageBreak/>
        <w:t>hiện các biện pháp chính sách của Ngân hàng Nhân dân Trung Quốc để tăng cường cho vay đối với các doanh nghiệp nhỏ và siêu nhỏ và các công ty thuộc khu vực tư nhân.</w:t>
      </w:r>
    </w:p>
    <w:p w:rsidR="003A2FBB" w:rsidRPr="00216A7D" w:rsidRDefault="003A2FBB" w:rsidP="003A2FBB">
      <w:pPr>
        <w:spacing w:line="312" w:lineRule="auto"/>
        <w:ind w:firstLine="720"/>
        <w:jc w:val="both"/>
        <w:rPr>
          <w:rFonts w:ascii="Times New Roman" w:hAnsi="Times New Roman" w:cs="Times New Roman"/>
          <w:i/>
          <w:iCs/>
          <w:sz w:val="26"/>
          <w:szCs w:val="26"/>
        </w:rPr>
      </w:pPr>
      <w:r w:rsidRPr="00216A7D">
        <w:rPr>
          <w:rFonts w:ascii="Times New Roman" w:hAnsi="Times New Roman" w:cs="Times New Roman"/>
          <w:i/>
          <w:iCs/>
          <w:sz w:val="26"/>
          <w:szCs w:val="26"/>
        </w:rPr>
        <w:t xml:space="preserve"> Doanh nghiệp Logistics vẫn lạc quan về triển vọng kinh doanh</w:t>
      </w:r>
    </w:p>
    <w:p w:rsidR="003A2FBB" w:rsidRDefault="003A2FBB" w:rsidP="003A2FBB">
      <w:pPr>
        <w:spacing w:line="312" w:lineRule="auto"/>
        <w:ind w:firstLine="720"/>
        <w:jc w:val="both"/>
        <w:rPr>
          <w:rFonts w:ascii="Times New Roman" w:hAnsi="Times New Roman" w:cs="Times New Roman"/>
          <w:iCs/>
          <w:sz w:val="26"/>
          <w:szCs w:val="26"/>
        </w:rPr>
      </w:pPr>
      <w:r w:rsidRPr="003A2FBB">
        <w:rPr>
          <w:rFonts w:ascii="Times New Roman" w:hAnsi="Times New Roman" w:cs="Times New Roman"/>
          <w:iCs/>
          <w:sz w:val="26"/>
          <w:szCs w:val="26"/>
        </w:rPr>
        <w:t>Chỉ số kỳ vọng kinh doanh vẫn tương đối cao ở mức 61</w:t>
      </w:r>
      <w:proofErr w:type="gramStart"/>
      <w:r w:rsidRPr="003A2FBB">
        <w:rPr>
          <w:rFonts w:ascii="Times New Roman" w:hAnsi="Times New Roman" w:cs="Times New Roman"/>
          <w:iCs/>
          <w:sz w:val="26"/>
          <w:szCs w:val="26"/>
        </w:rPr>
        <w:t>,3</w:t>
      </w:r>
      <w:proofErr w:type="gramEnd"/>
      <w:r w:rsidRPr="003A2FBB">
        <w:rPr>
          <w:rFonts w:ascii="Times New Roman" w:hAnsi="Times New Roman" w:cs="Times New Roman"/>
          <w:iCs/>
          <w:sz w:val="26"/>
          <w:szCs w:val="26"/>
        </w:rPr>
        <w:t xml:space="preserve"> trong tháng 4</w:t>
      </w:r>
      <w:r w:rsidR="00216A7D">
        <w:rPr>
          <w:rFonts w:ascii="Times New Roman" w:hAnsi="Times New Roman" w:cs="Times New Roman"/>
          <w:iCs/>
          <w:sz w:val="26"/>
          <w:szCs w:val="26"/>
        </w:rPr>
        <w:t>/2019</w:t>
      </w:r>
      <w:r w:rsidRPr="003A2FBB">
        <w:rPr>
          <w:rFonts w:ascii="Times New Roman" w:hAnsi="Times New Roman" w:cs="Times New Roman"/>
          <w:iCs/>
          <w:sz w:val="26"/>
          <w:szCs w:val="26"/>
        </w:rPr>
        <w:t>, mặc dù thấp hơn so với tháng trước, cho thấy các doanh nghiệp</w:t>
      </w:r>
      <w:r w:rsidR="00216A7D">
        <w:rPr>
          <w:rFonts w:ascii="Times New Roman" w:hAnsi="Times New Roman" w:cs="Times New Roman"/>
          <w:iCs/>
          <w:sz w:val="26"/>
          <w:szCs w:val="26"/>
        </w:rPr>
        <w:t xml:space="preserve"> ngành</w:t>
      </w:r>
      <w:r w:rsidRPr="003A2FBB">
        <w:rPr>
          <w:rFonts w:ascii="Times New Roman" w:hAnsi="Times New Roman" w:cs="Times New Roman"/>
          <w:iCs/>
          <w:sz w:val="26"/>
          <w:szCs w:val="26"/>
        </w:rPr>
        <w:t xml:space="preserve"> </w:t>
      </w:r>
      <w:r w:rsidR="00A301FE">
        <w:rPr>
          <w:rFonts w:ascii="Times New Roman" w:hAnsi="Times New Roman" w:cs="Times New Roman"/>
          <w:iCs/>
          <w:sz w:val="26"/>
          <w:szCs w:val="26"/>
        </w:rPr>
        <w:t>logistics</w:t>
      </w:r>
      <w:r w:rsidRPr="003A2FBB">
        <w:rPr>
          <w:rFonts w:ascii="Times New Roman" w:hAnsi="Times New Roman" w:cs="Times New Roman"/>
          <w:iCs/>
          <w:sz w:val="26"/>
          <w:szCs w:val="26"/>
        </w:rPr>
        <w:t xml:space="preserve"> tiếp tục lạc quan về triển vọng kinh doanh trong ba tháng tới.</w:t>
      </w:r>
    </w:p>
    <w:p w:rsidR="00607892" w:rsidRPr="00216A7D" w:rsidRDefault="00607892" w:rsidP="00607892">
      <w:pPr>
        <w:spacing w:line="312" w:lineRule="auto"/>
        <w:ind w:firstLine="720"/>
        <w:jc w:val="both"/>
        <w:rPr>
          <w:rFonts w:ascii="Times New Roman" w:hAnsi="Times New Roman" w:cs="Times New Roman"/>
          <w:i/>
          <w:iCs/>
          <w:sz w:val="26"/>
          <w:szCs w:val="26"/>
        </w:rPr>
      </w:pPr>
      <w:r w:rsidRPr="00216A7D">
        <w:rPr>
          <w:rFonts w:ascii="Times New Roman" w:hAnsi="Times New Roman" w:cs="Times New Roman"/>
          <w:i/>
          <w:iCs/>
          <w:sz w:val="26"/>
          <w:szCs w:val="26"/>
        </w:rPr>
        <w:t xml:space="preserve">Các hành </w:t>
      </w:r>
      <w:proofErr w:type="gramStart"/>
      <w:r w:rsidRPr="00216A7D">
        <w:rPr>
          <w:rFonts w:ascii="Times New Roman" w:hAnsi="Times New Roman" w:cs="Times New Roman"/>
          <w:i/>
          <w:iCs/>
          <w:sz w:val="26"/>
          <w:szCs w:val="26"/>
        </w:rPr>
        <w:t>lang</w:t>
      </w:r>
      <w:proofErr w:type="gramEnd"/>
      <w:r w:rsidRPr="00216A7D">
        <w:rPr>
          <w:rFonts w:ascii="Times New Roman" w:hAnsi="Times New Roman" w:cs="Times New Roman"/>
          <w:i/>
          <w:iCs/>
          <w:sz w:val="26"/>
          <w:szCs w:val="26"/>
        </w:rPr>
        <w:t xml:space="preserve"> vận tải và thương mại ngày càng mở rộng, tạ</w:t>
      </w:r>
      <w:r w:rsidR="003A2FBB" w:rsidRPr="00216A7D">
        <w:rPr>
          <w:rFonts w:ascii="Times New Roman" w:hAnsi="Times New Roman" w:cs="Times New Roman"/>
          <w:i/>
          <w:iCs/>
          <w:sz w:val="26"/>
          <w:szCs w:val="26"/>
        </w:rPr>
        <w:t xml:space="preserve">o ra năng lực </w:t>
      </w:r>
      <w:r w:rsidRPr="00216A7D">
        <w:rPr>
          <w:rFonts w:ascii="Times New Roman" w:hAnsi="Times New Roman" w:cs="Times New Roman"/>
          <w:i/>
          <w:iCs/>
          <w:sz w:val="26"/>
          <w:szCs w:val="26"/>
        </w:rPr>
        <w:t>mới cho ngành logistics và sản xuất, thương mại của Trung Quốc.</w:t>
      </w:r>
    </w:p>
    <w:p w:rsidR="00607892" w:rsidRDefault="00607892" w:rsidP="00607892">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952574">
        <w:rPr>
          <w:rFonts w:ascii="Times New Roman" w:hAnsi="Times New Roman" w:cs="Times New Roman"/>
          <w:iCs/>
          <w:sz w:val="26"/>
          <w:szCs w:val="26"/>
        </w:rPr>
        <w:t xml:space="preserve">Thiểm Tây là tỉnh mới nhất tham gia một hành </w:t>
      </w:r>
      <w:proofErr w:type="gramStart"/>
      <w:r w:rsidRPr="00952574">
        <w:rPr>
          <w:rFonts w:ascii="Times New Roman" w:hAnsi="Times New Roman" w:cs="Times New Roman"/>
          <w:iCs/>
          <w:sz w:val="26"/>
          <w:szCs w:val="26"/>
        </w:rPr>
        <w:t>lang</w:t>
      </w:r>
      <w:proofErr w:type="gramEnd"/>
      <w:r w:rsidRPr="00952574">
        <w:rPr>
          <w:rFonts w:ascii="Times New Roman" w:hAnsi="Times New Roman" w:cs="Times New Roman"/>
          <w:iCs/>
          <w:sz w:val="26"/>
          <w:szCs w:val="26"/>
        </w:rPr>
        <w:t xml:space="preserve"> thương mại trên biển, tạo thuận lợi cho thương mại giữa các tỉnh miền tây Trung Quốc và các quốc gia và khu vự</w:t>
      </w:r>
      <w:r>
        <w:rPr>
          <w:rFonts w:ascii="Times New Roman" w:hAnsi="Times New Roman" w:cs="Times New Roman"/>
          <w:iCs/>
          <w:sz w:val="26"/>
          <w:szCs w:val="26"/>
        </w:rPr>
        <w:t>c khác.</w:t>
      </w:r>
    </w:p>
    <w:p w:rsidR="00074118" w:rsidRPr="00074118" w:rsidRDefault="00074118" w:rsidP="00074118">
      <w:pPr>
        <w:spacing w:line="312" w:lineRule="auto"/>
        <w:ind w:firstLine="720"/>
        <w:jc w:val="center"/>
        <w:rPr>
          <w:rFonts w:ascii="Times New Roman" w:hAnsi="Times New Roman" w:cs="Times New Roman"/>
          <w:b/>
          <w:iCs/>
          <w:sz w:val="26"/>
          <w:szCs w:val="26"/>
        </w:rPr>
      </w:pPr>
      <w:bookmarkStart w:id="3" w:name="_Toc10017959"/>
      <w:r w:rsidRPr="00074118">
        <w:rPr>
          <w:rFonts w:ascii="Times New Roman" w:hAnsi="Times New Roman" w:cs="Times New Roman"/>
          <w:b/>
          <w:sz w:val="26"/>
          <w:szCs w:val="26"/>
        </w:rPr>
        <w:t xml:space="preserve">Hình </w:t>
      </w:r>
      <w:r w:rsidRPr="00074118">
        <w:rPr>
          <w:rFonts w:ascii="Times New Roman" w:hAnsi="Times New Roman" w:cs="Times New Roman"/>
          <w:b/>
          <w:sz w:val="26"/>
          <w:szCs w:val="26"/>
        </w:rPr>
        <w:fldChar w:fldCharType="begin"/>
      </w:r>
      <w:r w:rsidRPr="00074118">
        <w:rPr>
          <w:rFonts w:ascii="Times New Roman" w:hAnsi="Times New Roman" w:cs="Times New Roman"/>
          <w:b/>
          <w:sz w:val="26"/>
          <w:szCs w:val="26"/>
        </w:rPr>
        <w:instrText xml:space="preserve"> SEQ Hình \* ARABIC </w:instrText>
      </w:r>
      <w:r w:rsidRPr="00074118">
        <w:rPr>
          <w:rFonts w:ascii="Times New Roman" w:hAnsi="Times New Roman" w:cs="Times New Roman"/>
          <w:b/>
          <w:sz w:val="26"/>
          <w:szCs w:val="26"/>
        </w:rPr>
        <w:fldChar w:fldCharType="separate"/>
      </w:r>
      <w:r w:rsidRPr="00074118">
        <w:rPr>
          <w:rFonts w:ascii="Times New Roman" w:hAnsi="Times New Roman" w:cs="Times New Roman"/>
          <w:b/>
          <w:noProof/>
          <w:sz w:val="26"/>
          <w:szCs w:val="26"/>
        </w:rPr>
        <w:t>1</w:t>
      </w:r>
      <w:r w:rsidRPr="00074118">
        <w:rPr>
          <w:rFonts w:ascii="Times New Roman" w:hAnsi="Times New Roman" w:cs="Times New Roman"/>
          <w:b/>
          <w:sz w:val="26"/>
          <w:szCs w:val="26"/>
        </w:rPr>
        <w:fldChar w:fldCharType="end"/>
      </w:r>
      <w:r w:rsidRPr="00074118">
        <w:rPr>
          <w:rFonts w:ascii="Times New Roman" w:hAnsi="Times New Roman" w:cs="Times New Roman"/>
          <w:b/>
          <w:sz w:val="26"/>
          <w:szCs w:val="26"/>
        </w:rPr>
        <w:t xml:space="preserve">: </w:t>
      </w:r>
      <w:r w:rsidRPr="00074118">
        <w:rPr>
          <w:rFonts w:ascii="Times New Roman" w:hAnsi="Times New Roman" w:cs="Times New Roman"/>
          <w:b/>
          <w:iCs/>
          <w:sz w:val="26"/>
          <w:szCs w:val="26"/>
        </w:rPr>
        <w:t>Đường sắt tại Thiểm Tây, Trung Quốc</w:t>
      </w:r>
      <w:bookmarkEnd w:id="3"/>
    </w:p>
    <w:p w:rsidR="00074118" w:rsidRDefault="00074118" w:rsidP="00074118">
      <w:pPr>
        <w:spacing w:line="312" w:lineRule="auto"/>
        <w:jc w:val="both"/>
        <w:rPr>
          <w:rFonts w:ascii="Times New Roman" w:hAnsi="Times New Roman" w:cs="Times New Roman"/>
          <w:iCs/>
          <w:sz w:val="26"/>
          <w:szCs w:val="26"/>
        </w:rPr>
      </w:pPr>
      <w:r>
        <w:rPr>
          <w:noProof/>
        </w:rPr>
        <w:drawing>
          <wp:inline distT="0" distB="0" distL="0" distR="0" wp14:anchorId="0CE7F236" wp14:editId="3943A668">
            <wp:extent cx="5486400" cy="2743200"/>
            <wp:effectExtent l="0" t="0" r="0" b="0"/>
            <wp:docPr id="10" name="Picture 10" descr="Image result for ÄÆ°á»ng sáº¯t Thiá»m TÃ¢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ÄÆ°á»ng sáº¯t Thiá»m TÃ¢y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rsidR="00607892" w:rsidRPr="00952574" w:rsidRDefault="00607892" w:rsidP="00607892">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Ngoài ra, phải kể đến h</w:t>
      </w:r>
      <w:r w:rsidRPr="00952574">
        <w:rPr>
          <w:rFonts w:ascii="Times New Roman" w:hAnsi="Times New Roman" w:cs="Times New Roman"/>
          <w:iCs/>
          <w:sz w:val="26"/>
          <w:szCs w:val="26"/>
        </w:rPr>
        <w:t xml:space="preserve">ành </w:t>
      </w:r>
      <w:proofErr w:type="gramStart"/>
      <w:r w:rsidRPr="00952574">
        <w:rPr>
          <w:rFonts w:ascii="Times New Roman" w:hAnsi="Times New Roman" w:cs="Times New Roman"/>
          <w:iCs/>
          <w:sz w:val="26"/>
          <w:szCs w:val="26"/>
        </w:rPr>
        <w:t>lang</w:t>
      </w:r>
      <w:proofErr w:type="gramEnd"/>
      <w:r w:rsidRPr="00952574">
        <w:rPr>
          <w:rFonts w:ascii="Times New Roman" w:hAnsi="Times New Roman" w:cs="Times New Roman"/>
          <w:iCs/>
          <w:sz w:val="26"/>
          <w:szCs w:val="26"/>
        </w:rPr>
        <w:t xml:space="preserve"> thương mại trên đất liề</w:t>
      </w:r>
      <w:r>
        <w:rPr>
          <w:rFonts w:ascii="Times New Roman" w:hAnsi="Times New Roman" w:cs="Times New Roman"/>
          <w:iCs/>
          <w:sz w:val="26"/>
          <w:szCs w:val="26"/>
        </w:rPr>
        <w:t xml:space="preserve">n- </w:t>
      </w:r>
      <w:r w:rsidRPr="00952574">
        <w:rPr>
          <w:rFonts w:ascii="Times New Roman" w:hAnsi="Times New Roman" w:cs="Times New Roman"/>
          <w:iCs/>
          <w:sz w:val="26"/>
          <w:szCs w:val="26"/>
        </w:rPr>
        <w:t xml:space="preserve">tuyến thương mại và </w:t>
      </w:r>
      <w:r w:rsidR="00A301FE">
        <w:rPr>
          <w:rFonts w:ascii="Times New Roman" w:hAnsi="Times New Roman" w:cs="Times New Roman"/>
          <w:iCs/>
          <w:sz w:val="26"/>
          <w:szCs w:val="26"/>
        </w:rPr>
        <w:t>logistics</w:t>
      </w:r>
      <w:r w:rsidRPr="00952574">
        <w:rPr>
          <w:rFonts w:ascii="Times New Roman" w:hAnsi="Times New Roman" w:cs="Times New Roman"/>
          <w:iCs/>
          <w:sz w:val="26"/>
          <w:szCs w:val="26"/>
        </w:rPr>
        <w:t xml:space="preserve"> được xây dựng bởi các khu vực phía tây Trung Quốc và Singapore trong khuôn khổ Sáng kiến ​​trình diễn Trung Quốc-Singapore (Trùng Khánh) về kết nối chiến lượ</w:t>
      </w:r>
      <w:r>
        <w:rPr>
          <w:rFonts w:ascii="Times New Roman" w:hAnsi="Times New Roman" w:cs="Times New Roman"/>
          <w:iCs/>
          <w:sz w:val="26"/>
          <w:szCs w:val="26"/>
        </w:rPr>
        <w:t>c.</w:t>
      </w:r>
    </w:p>
    <w:p w:rsidR="00607892" w:rsidRPr="00952574" w:rsidRDefault="00607892" w:rsidP="00607892">
      <w:pPr>
        <w:spacing w:line="312" w:lineRule="auto"/>
        <w:ind w:firstLine="720"/>
        <w:jc w:val="both"/>
        <w:rPr>
          <w:rFonts w:ascii="Times New Roman" w:hAnsi="Times New Roman" w:cs="Times New Roman"/>
          <w:iCs/>
          <w:sz w:val="26"/>
          <w:szCs w:val="26"/>
        </w:rPr>
      </w:pPr>
      <w:r w:rsidRPr="00952574">
        <w:rPr>
          <w:rFonts w:ascii="Times New Roman" w:hAnsi="Times New Roman" w:cs="Times New Roman"/>
          <w:iCs/>
          <w:sz w:val="26"/>
          <w:szCs w:val="26"/>
        </w:rPr>
        <w:lastRenderedPageBreak/>
        <w:t>Trùng Khánh là một trung tâm hoạt độ</w:t>
      </w:r>
      <w:r w:rsidR="00A301FE">
        <w:rPr>
          <w:rFonts w:ascii="Times New Roman" w:hAnsi="Times New Roman" w:cs="Times New Roman"/>
          <w:iCs/>
          <w:sz w:val="26"/>
          <w:szCs w:val="26"/>
        </w:rPr>
        <w:t>ng trong các</w:t>
      </w:r>
      <w:r w:rsidRPr="00952574">
        <w:rPr>
          <w:rFonts w:ascii="Times New Roman" w:hAnsi="Times New Roman" w:cs="Times New Roman"/>
          <w:iCs/>
          <w:sz w:val="26"/>
          <w:szCs w:val="26"/>
        </w:rPr>
        <w:t xml:space="preserve"> hành </w:t>
      </w:r>
      <w:proofErr w:type="gramStart"/>
      <w:r w:rsidRPr="00952574">
        <w:rPr>
          <w:rFonts w:ascii="Times New Roman" w:hAnsi="Times New Roman" w:cs="Times New Roman"/>
          <w:iCs/>
          <w:sz w:val="26"/>
          <w:szCs w:val="26"/>
        </w:rPr>
        <w:t>lang</w:t>
      </w:r>
      <w:proofErr w:type="gramEnd"/>
      <w:r w:rsidR="00A301FE">
        <w:rPr>
          <w:rFonts w:ascii="Times New Roman" w:hAnsi="Times New Roman" w:cs="Times New Roman"/>
          <w:iCs/>
          <w:sz w:val="26"/>
          <w:szCs w:val="26"/>
        </w:rPr>
        <w:t xml:space="preserve"> này</w:t>
      </w:r>
      <w:r w:rsidRPr="00952574">
        <w:rPr>
          <w:rFonts w:ascii="Times New Roman" w:hAnsi="Times New Roman" w:cs="Times New Roman"/>
          <w:iCs/>
          <w:sz w:val="26"/>
          <w:szCs w:val="26"/>
        </w:rPr>
        <w:t xml:space="preserve">. </w:t>
      </w:r>
      <w:proofErr w:type="gramStart"/>
      <w:r w:rsidRPr="00952574">
        <w:rPr>
          <w:rFonts w:ascii="Times New Roman" w:hAnsi="Times New Roman" w:cs="Times New Roman"/>
          <w:iCs/>
          <w:sz w:val="26"/>
          <w:szCs w:val="26"/>
        </w:rPr>
        <w:t>Hàng hóa được vận chuyển đến Vịnh Beibu ở Khu tự trị dân tộc Choang</w:t>
      </w:r>
      <w:r w:rsidR="00A301FE">
        <w:rPr>
          <w:rFonts w:ascii="Times New Roman" w:hAnsi="Times New Roman" w:cs="Times New Roman"/>
          <w:iCs/>
          <w:sz w:val="26"/>
          <w:szCs w:val="26"/>
        </w:rPr>
        <w:t>-</w:t>
      </w:r>
      <w:r w:rsidRPr="00952574">
        <w:rPr>
          <w:rFonts w:ascii="Times New Roman" w:hAnsi="Times New Roman" w:cs="Times New Roman"/>
          <w:iCs/>
          <w:sz w:val="26"/>
          <w:szCs w:val="26"/>
        </w:rPr>
        <w:t xml:space="preserve"> Quảng Tây và được chuyển đến các tuyến đường biển.</w:t>
      </w:r>
      <w:proofErr w:type="gramEnd"/>
      <w:r w:rsidRPr="00952574">
        <w:rPr>
          <w:rFonts w:ascii="Times New Roman" w:hAnsi="Times New Roman" w:cs="Times New Roman"/>
          <w:iCs/>
          <w:sz w:val="26"/>
          <w:szCs w:val="26"/>
        </w:rPr>
        <w:t xml:space="preserve"> Hành </w:t>
      </w:r>
      <w:proofErr w:type="gramStart"/>
      <w:r w:rsidRPr="00952574">
        <w:rPr>
          <w:rFonts w:ascii="Times New Roman" w:hAnsi="Times New Roman" w:cs="Times New Roman"/>
          <w:iCs/>
          <w:sz w:val="26"/>
          <w:szCs w:val="26"/>
        </w:rPr>
        <w:t>lang</w:t>
      </w:r>
      <w:proofErr w:type="gramEnd"/>
      <w:r w:rsidRPr="00952574">
        <w:rPr>
          <w:rFonts w:ascii="Times New Roman" w:hAnsi="Times New Roman" w:cs="Times New Roman"/>
          <w:iCs/>
          <w:sz w:val="26"/>
          <w:szCs w:val="26"/>
        </w:rPr>
        <w:t xml:space="preserve"> </w:t>
      </w:r>
      <w:r w:rsidR="00D473CE">
        <w:rPr>
          <w:rFonts w:ascii="Times New Roman" w:hAnsi="Times New Roman" w:cs="Times New Roman"/>
          <w:iCs/>
          <w:sz w:val="26"/>
          <w:szCs w:val="26"/>
        </w:rPr>
        <w:t xml:space="preserve">này giúp </w:t>
      </w:r>
      <w:r w:rsidRPr="00952574">
        <w:rPr>
          <w:rFonts w:ascii="Times New Roman" w:hAnsi="Times New Roman" w:cs="Times New Roman"/>
          <w:iCs/>
          <w:sz w:val="26"/>
          <w:szCs w:val="26"/>
        </w:rPr>
        <w:t xml:space="preserve">các tỉnh phía tây Trung Quốc và các khu tự trị khác </w:t>
      </w:r>
      <w:r w:rsidR="00D473CE">
        <w:rPr>
          <w:rFonts w:ascii="Times New Roman" w:hAnsi="Times New Roman" w:cs="Times New Roman"/>
          <w:iCs/>
          <w:sz w:val="26"/>
          <w:szCs w:val="26"/>
        </w:rPr>
        <w:t xml:space="preserve">lựa có thêm lựa chọn </w:t>
      </w:r>
      <w:r w:rsidRPr="00952574">
        <w:rPr>
          <w:rFonts w:ascii="Times New Roman" w:hAnsi="Times New Roman" w:cs="Times New Roman"/>
          <w:iCs/>
          <w:sz w:val="26"/>
          <w:szCs w:val="26"/>
        </w:rPr>
        <w:t>ngoài vận chuyển hàng hóa từ bờ biể</w:t>
      </w:r>
      <w:r>
        <w:rPr>
          <w:rFonts w:ascii="Times New Roman" w:hAnsi="Times New Roman" w:cs="Times New Roman"/>
          <w:iCs/>
          <w:sz w:val="26"/>
          <w:szCs w:val="26"/>
        </w:rPr>
        <w:t>n phía đông.</w:t>
      </w:r>
    </w:p>
    <w:p w:rsidR="00607892" w:rsidRPr="00952574" w:rsidRDefault="00607892" w:rsidP="00607892">
      <w:pPr>
        <w:spacing w:line="312" w:lineRule="auto"/>
        <w:ind w:firstLine="720"/>
        <w:jc w:val="both"/>
        <w:rPr>
          <w:rFonts w:ascii="Times New Roman" w:hAnsi="Times New Roman" w:cs="Times New Roman"/>
          <w:iCs/>
          <w:sz w:val="26"/>
          <w:szCs w:val="26"/>
        </w:rPr>
      </w:pPr>
      <w:r w:rsidRPr="00952574">
        <w:rPr>
          <w:rFonts w:ascii="Times New Roman" w:hAnsi="Times New Roman" w:cs="Times New Roman"/>
          <w:iCs/>
          <w:sz w:val="26"/>
          <w:szCs w:val="26"/>
        </w:rPr>
        <w:t>Thiểm Tây, điểm khởi đầu của Con đường tơ lụa cổ đại, trở thành tỉnh thứ</w:t>
      </w:r>
      <w:r>
        <w:rPr>
          <w:rFonts w:ascii="Times New Roman" w:hAnsi="Times New Roman" w:cs="Times New Roman"/>
          <w:iCs/>
          <w:sz w:val="26"/>
          <w:szCs w:val="26"/>
        </w:rPr>
        <w:t xml:space="preserve"> chín tham gia</w:t>
      </w:r>
      <w:r w:rsidRPr="00952574">
        <w:rPr>
          <w:rFonts w:ascii="Times New Roman" w:hAnsi="Times New Roman" w:cs="Times New Roman"/>
          <w:iCs/>
          <w:sz w:val="26"/>
          <w:szCs w:val="26"/>
        </w:rPr>
        <w:t xml:space="preserve"> vào hành lang sau Trùng Khánh, Quảng Tây, Quý Châu, Cam Túc, Thanh Hải, Khu tự trị Tân Cương, Vân Nam và Khu tự trị Hồi Ninh Hạ</w:t>
      </w:r>
      <w:r>
        <w:rPr>
          <w:rFonts w:ascii="Times New Roman" w:hAnsi="Times New Roman" w:cs="Times New Roman"/>
          <w:iCs/>
          <w:sz w:val="26"/>
          <w:szCs w:val="26"/>
        </w:rPr>
        <w:t>.</w:t>
      </w:r>
    </w:p>
    <w:p w:rsidR="00607892" w:rsidRPr="00952574" w:rsidRDefault="00D473CE" w:rsidP="00607892">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Theo Han Baochang, t</w:t>
      </w:r>
      <w:r w:rsidRPr="00952574">
        <w:rPr>
          <w:rFonts w:ascii="Times New Roman" w:hAnsi="Times New Roman" w:cs="Times New Roman"/>
          <w:iCs/>
          <w:sz w:val="26"/>
          <w:szCs w:val="26"/>
        </w:rPr>
        <w:t>ổng giám đốc của Sáng kiến ​​Biểu tình Trung Quốc-Singapore (Trùng Khánh) về Cục Hành chính Kết nối Chiến lượ</w:t>
      </w:r>
      <w:r>
        <w:rPr>
          <w:rFonts w:ascii="Times New Roman" w:hAnsi="Times New Roman" w:cs="Times New Roman"/>
          <w:iCs/>
          <w:sz w:val="26"/>
          <w:szCs w:val="26"/>
        </w:rPr>
        <w:t>c</w:t>
      </w:r>
      <w:r w:rsidRPr="00952574">
        <w:rPr>
          <w:rFonts w:ascii="Times New Roman" w:hAnsi="Times New Roman" w:cs="Times New Roman"/>
          <w:iCs/>
          <w:sz w:val="26"/>
          <w:szCs w:val="26"/>
        </w:rPr>
        <w:t xml:space="preserve"> </w:t>
      </w:r>
      <w:r w:rsidR="00607892" w:rsidRPr="00952574">
        <w:rPr>
          <w:rFonts w:ascii="Times New Roman" w:hAnsi="Times New Roman" w:cs="Times New Roman"/>
          <w:iCs/>
          <w:sz w:val="26"/>
          <w:szCs w:val="26"/>
        </w:rPr>
        <w:t xml:space="preserve">Các tỉnh và khu tự trị dự kiến ​​sẽ cải thiện cơ sở hạ tầng </w:t>
      </w:r>
      <w:r w:rsidR="00A301FE">
        <w:rPr>
          <w:rFonts w:ascii="Times New Roman" w:hAnsi="Times New Roman" w:cs="Times New Roman"/>
          <w:iCs/>
          <w:sz w:val="26"/>
          <w:szCs w:val="26"/>
        </w:rPr>
        <w:t>logistics</w:t>
      </w:r>
      <w:r w:rsidR="00607892" w:rsidRPr="00952574">
        <w:rPr>
          <w:rFonts w:ascii="Times New Roman" w:hAnsi="Times New Roman" w:cs="Times New Roman"/>
          <w:iCs/>
          <w:sz w:val="26"/>
          <w:szCs w:val="26"/>
        </w:rPr>
        <w:t>, tăng cường quan hệ thương mại và trao đổ</w:t>
      </w:r>
      <w:r>
        <w:rPr>
          <w:rFonts w:ascii="Times New Roman" w:hAnsi="Times New Roman" w:cs="Times New Roman"/>
          <w:iCs/>
          <w:sz w:val="26"/>
          <w:szCs w:val="26"/>
        </w:rPr>
        <w:t>i thông tin, cũng như</w:t>
      </w:r>
      <w:r w:rsidR="00607892" w:rsidRPr="00952574">
        <w:rPr>
          <w:rFonts w:ascii="Times New Roman" w:hAnsi="Times New Roman" w:cs="Times New Roman"/>
          <w:iCs/>
          <w:sz w:val="26"/>
          <w:szCs w:val="26"/>
        </w:rPr>
        <w:t xml:space="preserve"> đổi mới trong hoạch đị</w:t>
      </w:r>
      <w:r>
        <w:rPr>
          <w:rFonts w:ascii="Times New Roman" w:hAnsi="Times New Roman" w:cs="Times New Roman"/>
          <w:iCs/>
          <w:sz w:val="26"/>
          <w:szCs w:val="26"/>
        </w:rPr>
        <w:t>nh chính sách</w:t>
      </w:r>
      <w:r w:rsidR="00607892">
        <w:rPr>
          <w:rFonts w:ascii="Times New Roman" w:hAnsi="Times New Roman" w:cs="Times New Roman"/>
          <w:iCs/>
          <w:sz w:val="26"/>
          <w:szCs w:val="26"/>
        </w:rPr>
        <w:t>.</w:t>
      </w:r>
    </w:p>
    <w:p w:rsidR="00BE6124" w:rsidRDefault="00607892" w:rsidP="00607892">
      <w:pPr>
        <w:spacing w:line="312" w:lineRule="auto"/>
        <w:ind w:firstLine="720"/>
        <w:jc w:val="both"/>
        <w:rPr>
          <w:rFonts w:ascii="Times New Roman" w:hAnsi="Times New Roman" w:cs="Times New Roman"/>
          <w:iCs/>
          <w:sz w:val="26"/>
          <w:szCs w:val="26"/>
        </w:rPr>
      </w:pPr>
      <w:r w:rsidRPr="00952574">
        <w:rPr>
          <w:rFonts w:ascii="Times New Roman" w:hAnsi="Times New Roman" w:cs="Times New Roman"/>
          <w:iCs/>
          <w:sz w:val="26"/>
          <w:szCs w:val="26"/>
        </w:rPr>
        <w:t>Đến cuối tháng 3</w:t>
      </w:r>
      <w:r>
        <w:rPr>
          <w:rFonts w:ascii="Times New Roman" w:hAnsi="Times New Roman" w:cs="Times New Roman"/>
          <w:iCs/>
          <w:sz w:val="26"/>
          <w:szCs w:val="26"/>
        </w:rPr>
        <w:t>/2019</w:t>
      </w:r>
      <w:r w:rsidRPr="00952574">
        <w:rPr>
          <w:rFonts w:ascii="Times New Roman" w:hAnsi="Times New Roman" w:cs="Times New Roman"/>
          <w:iCs/>
          <w:sz w:val="26"/>
          <w:szCs w:val="26"/>
        </w:rPr>
        <w:t xml:space="preserve">, </w:t>
      </w:r>
      <w:r w:rsidR="00D473CE">
        <w:rPr>
          <w:rFonts w:ascii="Times New Roman" w:hAnsi="Times New Roman" w:cs="Times New Roman"/>
          <w:iCs/>
          <w:sz w:val="26"/>
          <w:szCs w:val="26"/>
        </w:rPr>
        <w:t xml:space="preserve"> đã có </w:t>
      </w:r>
      <w:r w:rsidR="00D473CE" w:rsidRPr="00952574">
        <w:rPr>
          <w:rFonts w:ascii="Times New Roman" w:hAnsi="Times New Roman" w:cs="Times New Roman"/>
          <w:iCs/>
          <w:sz w:val="26"/>
          <w:szCs w:val="26"/>
        </w:rPr>
        <w:t xml:space="preserve">901 </w:t>
      </w:r>
      <w:r w:rsidRPr="00952574">
        <w:rPr>
          <w:rFonts w:ascii="Times New Roman" w:hAnsi="Times New Roman" w:cs="Times New Roman"/>
          <w:iCs/>
          <w:sz w:val="26"/>
          <w:szCs w:val="26"/>
        </w:rPr>
        <w:t>chuyến tàu chở hàng trên các</w:t>
      </w:r>
      <w:r w:rsidR="00D473CE">
        <w:rPr>
          <w:rFonts w:ascii="Times New Roman" w:hAnsi="Times New Roman" w:cs="Times New Roman"/>
          <w:iCs/>
          <w:sz w:val="26"/>
          <w:szCs w:val="26"/>
        </w:rPr>
        <w:t xml:space="preserve"> tuyến</w:t>
      </w:r>
      <w:r w:rsidRPr="00952574">
        <w:rPr>
          <w:rFonts w:ascii="Times New Roman" w:hAnsi="Times New Roman" w:cs="Times New Roman"/>
          <w:iCs/>
          <w:sz w:val="26"/>
          <w:szCs w:val="26"/>
        </w:rPr>
        <w:t>, bao gồm 166 cảng ở 71 quốc gia và khu vực.</w:t>
      </w:r>
    </w:p>
    <w:p w:rsidR="00216A7D" w:rsidRPr="00216A7D" w:rsidRDefault="00216A7D" w:rsidP="00216A7D">
      <w:pPr>
        <w:spacing w:line="312" w:lineRule="auto"/>
        <w:ind w:firstLine="720"/>
        <w:jc w:val="both"/>
        <w:rPr>
          <w:rStyle w:val="Emphasis"/>
          <w:rFonts w:ascii="Times New Roman" w:hAnsi="Times New Roman" w:cs="Times New Roman"/>
          <w:sz w:val="26"/>
          <w:szCs w:val="26"/>
        </w:rPr>
      </w:pPr>
      <w:r>
        <w:rPr>
          <w:rStyle w:val="Emphasis"/>
          <w:rFonts w:ascii="Times New Roman" w:hAnsi="Times New Roman" w:cs="Times New Roman"/>
          <w:sz w:val="26"/>
          <w:szCs w:val="26"/>
        </w:rPr>
        <w:t>Tuy nhiên, nếu c</w:t>
      </w:r>
      <w:r w:rsidRPr="00216A7D">
        <w:rPr>
          <w:rStyle w:val="Emphasis"/>
          <w:rFonts w:ascii="Times New Roman" w:hAnsi="Times New Roman" w:cs="Times New Roman"/>
          <w:sz w:val="26"/>
          <w:szCs w:val="26"/>
        </w:rPr>
        <w:t>uộc chiến thương mại giữa Mỹ và Trung Quốc kéo dài</w:t>
      </w:r>
      <w:r>
        <w:rPr>
          <w:rStyle w:val="Emphasis"/>
          <w:rFonts w:ascii="Times New Roman" w:hAnsi="Times New Roman" w:cs="Times New Roman"/>
          <w:sz w:val="26"/>
          <w:szCs w:val="26"/>
        </w:rPr>
        <w:t xml:space="preserve"> và mở rộng, </w:t>
      </w:r>
      <w:r w:rsidRPr="00216A7D">
        <w:rPr>
          <w:rStyle w:val="Emphasis"/>
          <w:rFonts w:ascii="Times New Roman" w:hAnsi="Times New Roman" w:cs="Times New Roman"/>
          <w:sz w:val="26"/>
          <w:szCs w:val="26"/>
        </w:rPr>
        <w:t>ngành kinh doanh vận tải container Trung Quốc</w:t>
      </w:r>
      <w:r>
        <w:rPr>
          <w:rStyle w:val="Emphasis"/>
          <w:rFonts w:ascii="Times New Roman" w:hAnsi="Times New Roman" w:cs="Times New Roman"/>
          <w:sz w:val="26"/>
          <w:szCs w:val="26"/>
        </w:rPr>
        <w:t xml:space="preserve"> sẽ sụt giảm</w:t>
      </w:r>
      <w:r w:rsidRPr="00216A7D">
        <w:rPr>
          <w:rStyle w:val="Emphasis"/>
          <w:rFonts w:ascii="Times New Roman" w:hAnsi="Times New Roman" w:cs="Times New Roman"/>
          <w:sz w:val="26"/>
          <w:szCs w:val="26"/>
        </w:rPr>
        <w:t xml:space="preserve"> trong vòng 12 đến 18 tháng tới.</w:t>
      </w:r>
    </w:p>
    <w:p w:rsidR="00216A7D" w:rsidRPr="00216A7D" w:rsidRDefault="00D473CE" w:rsidP="00216A7D">
      <w:pPr>
        <w:spacing w:line="312" w:lineRule="auto"/>
        <w:ind w:firstLine="720"/>
        <w:jc w:val="both"/>
        <w:rPr>
          <w:rStyle w:val="Emphasis"/>
          <w:rFonts w:ascii="Times New Roman" w:hAnsi="Times New Roman" w:cs="Times New Roman"/>
          <w:i w:val="0"/>
          <w:sz w:val="26"/>
          <w:szCs w:val="26"/>
        </w:rPr>
      </w:pPr>
      <w:r w:rsidRPr="00216A7D">
        <w:rPr>
          <w:rStyle w:val="Emphasis"/>
          <w:rFonts w:ascii="Times New Roman" w:hAnsi="Times New Roman" w:cs="Times New Roman"/>
          <w:i w:val="0"/>
          <w:sz w:val="26"/>
          <w:szCs w:val="26"/>
        </w:rPr>
        <w:t xml:space="preserve">Theo một báo cáo của </w:t>
      </w:r>
      <w:r>
        <w:rPr>
          <w:rStyle w:val="Emphasis"/>
          <w:rFonts w:ascii="Times New Roman" w:hAnsi="Times New Roman" w:cs="Times New Roman"/>
          <w:i w:val="0"/>
          <w:sz w:val="26"/>
          <w:szCs w:val="26"/>
        </w:rPr>
        <w:t xml:space="preserve">công ty </w:t>
      </w:r>
      <w:r w:rsidRPr="00216A7D">
        <w:rPr>
          <w:rStyle w:val="Emphasis"/>
          <w:rFonts w:ascii="Times New Roman" w:hAnsi="Times New Roman" w:cs="Times New Roman"/>
          <w:i w:val="0"/>
          <w:sz w:val="26"/>
          <w:szCs w:val="26"/>
        </w:rPr>
        <w:t>Dịch vụ đầu tư Moody</w:t>
      </w:r>
      <w:r>
        <w:rPr>
          <w:rStyle w:val="Emphasis"/>
          <w:rFonts w:ascii="Times New Roman" w:hAnsi="Times New Roman" w:cs="Times New Roman"/>
          <w:i w:val="0"/>
          <w:sz w:val="26"/>
          <w:szCs w:val="26"/>
        </w:rPr>
        <w:t>, t</w:t>
      </w:r>
      <w:r w:rsidR="00216A7D" w:rsidRPr="00216A7D">
        <w:rPr>
          <w:rStyle w:val="Emphasis"/>
          <w:rFonts w:ascii="Times New Roman" w:hAnsi="Times New Roman" w:cs="Times New Roman"/>
          <w:i w:val="0"/>
          <w:sz w:val="26"/>
          <w:szCs w:val="26"/>
        </w:rPr>
        <w:t>ốc độ tăng trưở</w:t>
      </w:r>
      <w:r w:rsidR="00216A7D">
        <w:rPr>
          <w:rStyle w:val="Emphasis"/>
          <w:rFonts w:ascii="Times New Roman" w:hAnsi="Times New Roman" w:cs="Times New Roman"/>
          <w:i w:val="0"/>
          <w:sz w:val="26"/>
          <w:szCs w:val="26"/>
        </w:rPr>
        <w:t>ng hàng năm của</w:t>
      </w:r>
      <w:r w:rsidR="00216A7D" w:rsidRPr="00216A7D">
        <w:rPr>
          <w:rStyle w:val="Emphasis"/>
          <w:rFonts w:ascii="Times New Roman" w:hAnsi="Times New Roman" w:cs="Times New Roman"/>
          <w:i w:val="0"/>
          <w:sz w:val="26"/>
          <w:szCs w:val="26"/>
        </w:rPr>
        <w:t xml:space="preserve"> sản lượng container có thể</w:t>
      </w:r>
      <w:r w:rsidR="00216A7D">
        <w:rPr>
          <w:rStyle w:val="Emphasis"/>
          <w:rFonts w:ascii="Times New Roman" w:hAnsi="Times New Roman" w:cs="Times New Roman"/>
          <w:i w:val="0"/>
          <w:sz w:val="26"/>
          <w:szCs w:val="26"/>
        </w:rPr>
        <w:t xml:space="preserve"> </w:t>
      </w:r>
      <w:r w:rsidR="00216A7D" w:rsidRPr="00216A7D">
        <w:rPr>
          <w:rStyle w:val="Emphasis"/>
          <w:rFonts w:ascii="Times New Roman" w:hAnsi="Times New Roman" w:cs="Times New Roman"/>
          <w:i w:val="0"/>
          <w:sz w:val="26"/>
          <w:szCs w:val="26"/>
        </w:rPr>
        <w:t>giả</w:t>
      </w:r>
      <w:r w:rsidR="00216A7D">
        <w:rPr>
          <w:rStyle w:val="Emphasis"/>
          <w:rFonts w:ascii="Times New Roman" w:hAnsi="Times New Roman" w:cs="Times New Roman"/>
          <w:i w:val="0"/>
          <w:sz w:val="26"/>
          <w:szCs w:val="26"/>
        </w:rPr>
        <w:t>m</w:t>
      </w:r>
      <w:r>
        <w:rPr>
          <w:rStyle w:val="Emphasis"/>
          <w:rFonts w:ascii="Times New Roman" w:hAnsi="Times New Roman" w:cs="Times New Roman"/>
          <w:i w:val="0"/>
          <w:sz w:val="26"/>
          <w:szCs w:val="26"/>
        </w:rPr>
        <w:t xml:space="preserve"> do</w:t>
      </w:r>
      <w:r w:rsidR="00216A7D" w:rsidRPr="00216A7D">
        <w:rPr>
          <w:rStyle w:val="Emphasis"/>
          <w:rFonts w:ascii="Times New Roman" w:hAnsi="Times New Roman" w:cs="Times New Roman"/>
          <w:i w:val="0"/>
          <w:sz w:val="26"/>
          <w:szCs w:val="26"/>
        </w:rPr>
        <w:t xml:space="preserve"> cuộc chiến thương mại kéo dài giữa </w:t>
      </w:r>
      <w:r w:rsidR="00216A7D">
        <w:rPr>
          <w:rStyle w:val="Emphasis"/>
          <w:rFonts w:ascii="Times New Roman" w:hAnsi="Times New Roman" w:cs="Times New Roman"/>
          <w:i w:val="0"/>
          <w:sz w:val="26"/>
          <w:szCs w:val="26"/>
        </w:rPr>
        <w:t>Mỹ và Trung Quốc</w:t>
      </w:r>
      <w:r w:rsidR="00216A7D" w:rsidRPr="00216A7D">
        <w:rPr>
          <w:rStyle w:val="Emphasis"/>
          <w:rFonts w:ascii="Times New Roman" w:hAnsi="Times New Roman" w:cs="Times New Roman"/>
          <w:i w:val="0"/>
          <w:sz w:val="26"/>
          <w:szCs w:val="26"/>
        </w:rPr>
        <w:t xml:space="preserve"> sẽ kìm hãm sự phát triển của ngành kinh doanh vận tải container Trung Quốc trong vòng 12 đến 18 tháng tới.</w:t>
      </w:r>
    </w:p>
    <w:p w:rsidR="00216A7D" w:rsidRPr="00216A7D" w:rsidRDefault="00216A7D" w:rsidP="00216A7D">
      <w:pPr>
        <w:spacing w:line="312" w:lineRule="auto"/>
        <w:ind w:firstLine="720"/>
        <w:jc w:val="both"/>
        <w:rPr>
          <w:rStyle w:val="Emphasis"/>
          <w:rFonts w:ascii="Times New Roman" w:hAnsi="Times New Roman" w:cs="Times New Roman"/>
          <w:i w:val="0"/>
          <w:sz w:val="26"/>
          <w:szCs w:val="26"/>
        </w:rPr>
      </w:pPr>
      <w:r w:rsidRPr="00216A7D">
        <w:rPr>
          <w:rStyle w:val="Emphasis"/>
          <w:rFonts w:ascii="Times New Roman" w:hAnsi="Times New Roman" w:cs="Times New Roman"/>
          <w:i w:val="0"/>
          <w:sz w:val="26"/>
          <w:szCs w:val="26"/>
        </w:rPr>
        <w:t>Tốc độ tăng trưở</w:t>
      </w:r>
      <w:r>
        <w:rPr>
          <w:rStyle w:val="Emphasis"/>
          <w:rFonts w:ascii="Times New Roman" w:hAnsi="Times New Roman" w:cs="Times New Roman"/>
          <w:i w:val="0"/>
          <w:sz w:val="26"/>
          <w:szCs w:val="26"/>
        </w:rPr>
        <w:t>ng hàng năm của</w:t>
      </w:r>
      <w:r w:rsidRPr="00216A7D">
        <w:rPr>
          <w:rStyle w:val="Emphasis"/>
          <w:rFonts w:ascii="Times New Roman" w:hAnsi="Times New Roman" w:cs="Times New Roman"/>
          <w:i w:val="0"/>
          <w:sz w:val="26"/>
          <w:szCs w:val="26"/>
        </w:rPr>
        <w:t xml:space="preserve"> sản lượng container có thể</w:t>
      </w:r>
      <w:r>
        <w:rPr>
          <w:rStyle w:val="Emphasis"/>
          <w:rFonts w:ascii="Times New Roman" w:hAnsi="Times New Roman" w:cs="Times New Roman"/>
          <w:i w:val="0"/>
          <w:sz w:val="26"/>
          <w:szCs w:val="26"/>
        </w:rPr>
        <w:t xml:space="preserve"> </w:t>
      </w:r>
      <w:r w:rsidRPr="00216A7D">
        <w:rPr>
          <w:rStyle w:val="Emphasis"/>
          <w:rFonts w:ascii="Times New Roman" w:hAnsi="Times New Roman" w:cs="Times New Roman"/>
          <w:i w:val="0"/>
          <w:sz w:val="26"/>
          <w:szCs w:val="26"/>
        </w:rPr>
        <w:t>giả</w:t>
      </w:r>
      <w:r>
        <w:rPr>
          <w:rStyle w:val="Emphasis"/>
          <w:rFonts w:ascii="Times New Roman" w:hAnsi="Times New Roman" w:cs="Times New Roman"/>
          <w:i w:val="0"/>
          <w:sz w:val="26"/>
          <w:szCs w:val="26"/>
        </w:rPr>
        <w:t xml:space="preserve">m xuống rất thấp so với mức </w:t>
      </w:r>
      <w:r w:rsidRPr="00216A7D">
        <w:rPr>
          <w:rStyle w:val="Emphasis"/>
          <w:rFonts w:ascii="Times New Roman" w:hAnsi="Times New Roman" w:cs="Times New Roman"/>
          <w:i w:val="0"/>
          <w:sz w:val="26"/>
          <w:szCs w:val="26"/>
        </w:rPr>
        <w:t>4</w:t>
      </w:r>
      <w:proofErr w:type="gramStart"/>
      <w:r w:rsidRPr="00216A7D">
        <w:rPr>
          <w:rStyle w:val="Emphasis"/>
          <w:rFonts w:ascii="Times New Roman" w:hAnsi="Times New Roman" w:cs="Times New Roman"/>
          <w:i w:val="0"/>
          <w:sz w:val="26"/>
          <w:szCs w:val="26"/>
        </w:rPr>
        <w:t>,7</w:t>
      </w:r>
      <w:proofErr w:type="gramEnd"/>
      <w:r w:rsidRPr="00216A7D">
        <w:rPr>
          <w:rStyle w:val="Emphasis"/>
          <w:rFonts w:ascii="Times New Roman" w:hAnsi="Times New Roman" w:cs="Times New Roman"/>
          <w:i w:val="0"/>
          <w:sz w:val="26"/>
          <w:szCs w:val="26"/>
        </w:rPr>
        <w:t>% trong năm 2018 và 8,3% trong năm 2017</w:t>
      </w:r>
    </w:p>
    <w:p w:rsidR="00216A7D" w:rsidRPr="002E6341" w:rsidRDefault="00216A7D" w:rsidP="00216A7D">
      <w:pPr>
        <w:spacing w:line="312" w:lineRule="auto"/>
        <w:ind w:firstLine="720"/>
        <w:jc w:val="both"/>
        <w:rPr>
          <w:rStyle w:val="Emphasis"/>
          <w:rFonts w:ascii="Times New Roman" w:hAnsi="Times New Roman" w:cs="Times New Roman"/>
          <w:i w:val="0"/>
          <w:sz w:val="26"/>
          <w:szCs w:val="26"/>
        </w:rPr>
      </w:pPr>
      <w:r w:rsidRPr="00216A7D">
        <w:rPr>
          <w:rStyle w:val="Emphasis"/>
          <w:rFonts w:ascii="Times New Roman" w:hAnsi="Times New Roman" w:cs="Times New Roman"/>
          <w:i w:val="0"/>
          <w:sz w:val="26"/>
          <w:szCs w:val="26"/>
        </w:rPr>
        <w:t>Phí xử lý</w:t>
      </w:r>
      <w:r w:rsidR="00D473CE">
        <w:rPr>
          <w:rStyle w:val="Emphasis"/>
          <w:rFonts w:ascii="Times New Roman" w:hAnsi="Times New Roman" w:cs="Times New Roman"/>
          <w:i w:val="0"/>
          <w:sz w:val="26"/>
          <w:szCs w:val="26"/>
        </w:rPr>
        <w:t xml:space="preserve"> hàng hóa tại</w:t>
      </w:r>
      <w:r w:rsidRPr="00216A7D">
        <w:rPr>
          <w:rStyle w:val="Emphasis"/>
          <w:rFonts w:ascii="Times New Roman" w:hAnsi="Times New Roman" w:cs="Times New Roman"/>
          <w:i w:val="0"/>
          <w:sz w:val="26"/>
          <w:szCs w:val="26"/>
        </w:rPr>
        <w:t xml:space="preserve"> cảng, được đo bằng doanh thu trung bình trên mỗi đơn vị tương đương 20 feet (TEU), cũng sẽ giảm, làm </w:t>
      </w:r>
      <w:r>
        <w:rPr>
          <w:rStyle w:val="Emphasis"/>
          <w:rFonts w:ascii="Times New Roman" w:hAnsi="Times New Roman" w:cs="Times New Roman"/>
          <w:i w:val="0"/>
          <w:sz w:val="26"/>
          <w:szCs w:val="26"/>
        </w:rPr>
        <w:t>giảm</w:t>
      </w:r>
      <w:r w:rsidRPr="00216A7D">
        <w:rPr>
          <w:rStyle w:val="Emphasis"/>
          <w:rFonts w:ascii="Times New Roman" w:hAnsi="Times New Roman" w:cs="Times New Roman"/>
          <w:i w:val="0"/>
          <w:sz w:val="26"/>
          <w:szCs w:val="26"/>
        </w:rPr>
        <w:t xml:space="preserve"> tổng doanh thu và lợi nhuận của China Merchants Port Holdings, Hutchison Port Holdings và Shanghai International Port, ba cả</w:t>
      </w:r>
      <w:r w:rsidR="00D473CE">
        <w:rPr>
          <w:rStyle w:val="Emphasis"/>
          <w:rFonts w:ascii="Times New Roman" w:hAnsi="Times New Roman" w:cs="Times New Roman"/>
          <w:i w:val="0"/>
          <w:sz w:val="26"/>
          <w:szCs w:val="26"/>
        </w:rPr>
        <w:t xml:space="preserve">ng nhà khai thác </w:t>
      </w:r>
      <w:r w:rsidRPr="00216A7D">
        <w:rPr>
          <w:rStyle w:val="Emphasis"/>
          <w:rFonts w:ascii="Times New Roman" w:hAnsi="Times New Roman" w:cs="Times New Roman"/>
          <w:i w:val="0"/>
          <w:sz w:val="26"/>
          <w:szCs w:val="26"/>
        </w:rPr>
        <w:t>được</w:t>
      </w:r>
      <w:r w:rsidR="00D473CE">
        <w:rPr>
          <w:rStyle w:val="Emphasis"/>
          <w:rFonts w:ascii="Times New Roman" w:hAnsi="Times New Roman" w:cs="Times New Roman"/>
          <w:i w:val="0"/>
          <w:sz w:val="26"/>
          <w:szCs w:val="26"/>
        </w:rPr>
        <w:t xml:space="preserve"> theo dõi bởi hãng</w:t>
      </w:r>
      <w:r w:rsidRPr="00216A7D">
        <w:rPr>
          <w:rStyle w:val="Emphasis"/>
          <w:rFonts w:ascii="Times New Roman" w:hAnsi="Times New Roman" w:cs="Times New Roman"/>
          <w:i w:val="0"/>
          <w:sz w:val="26"/>
          <w:szCs w:val="26"/>
        </w:rPr>
        <w:t xml:space="preserve"> Moody.</w:t>
      </w:r>
    </w:p>
    <w:p w:rsidR="00027461" w:rsidRPr="00027461" w:rsidRDefault="005A32AF" w:rsidP="00027461">
      <w:pPr>
        <w:pStyle w:val="ListParagraph"/>
        <w:numPr>
          <w:ilvl w:val="1"/>
          <w:numId w:val="1"/>
        </w:numPr>
        <w:spacing w:line="312" w:lineRule="auto"/>
        <w:jc w:val="both"/>
        <w:outlineLvl w:val="1"/>
        <w:rPr>
          <w:rFonts w:ascii="Times New Roman" w:hAnsi="Times New Roman" w:cs="Times New Roman"/>
          <w:b/>
          <w:i/>
          <w:iCs/>
          <w:sz w:val="26"/>
          <w:szCs w:val="26"/>
        </w:rPr>
      </w:pPr>
      <w:bookmarkStart w:id="4" w:name="_Toc5634784"/>
      <w:r>
        <w:rPr>
          <w:rStyle w:val="Emphasis"/>
          <w:rFonts w:ascii="Times New Roman" w:hAnsi="Times New Roman" w:cs="Times New Roman"/>
          <w:b/>
          <w:sz w:val="26"/>
          <w:szCs w:val="26"/>
        </w:rPr>
        <w:t>Tình hình kinh tế, sản xuất, thương mại cố liên quan đến hoạt động logistics</w:t>
      </w:r>
      <w:bookmarkEnd w:id="4"/>
    </w:p>
    <w:p w:rsidR="00D473CE" w:rsidRDefault="00D473CE" w:rsidP="00D473CE">
      <w:pPr>
        <w:spacing w:line="312" w:lineRule="auto"/>
        <w:ind w:firstLine="720"/>
        <w:jc w:val="both"/>
        <w:rPr>
          <w:rFonts w:ascii="Times New Roman" w:hAnsi="Times New Roman" w:cs="Times New Roman"/>
          <w:iCs/>
          <w:sz w:val="26"/>
          <w:szCs w:val="26"/>
        </w:rPr>
      </w:pPr>
      <w:proofErr w:type="gramStart"/>
      <w:r w:rsidRPr="00952574">
        <w:rPr>
          <w:rFonts w:ascii="Times New Roman" w:hAnsi="Times New Roman" w:cs="Times New Roman"/>
          <w:iCs/>
          <w:sz w:val="26"/>
          <w:szCs w:val="26"/>
        </w:rPr>
        <w:lastRenderedPageBreak/>
        <w:t xml:space="preserve">Trong quá trình chuyển đổi, các ngành công nghiệp mới nổi đã </w:t>
      </w:r>
      <w:r>
        <w:rPr>
          <w:rFonts w:ascii="Times New Roman" w:hAnsi="Times New Roman" w:cs="Times New Roman"/>
          <w:iCs/>
          <w:sz w:val="26"/>
          <w:szCs w:val="26"/>
        </w:rPr>
        <w:t>trở thành</w:t>
      </w:r>
      <w:r w:rsidRPr="00952574">
        <w:rPr>
          <w:rFonts w:ascii="Times New Roman" w:hAnsi="Times New Roman" w:cs="Times New Roman"/>
          <w:iCs/>
          <w:sz w:val="26"/>
          <w:szCs w:val="26"/>
        </w:rPr>
        <w:t xml:space="preserve"> một lực lượng liên tụ</w:t>
      </w:r>
      <w:r>
        <w:rPr>
          <w:rFonts w:ascii="Times New Roman" w:hAnsi="Times New Roman" w:cs="Times New Roman"/>
          <w:iCs/>
          <w:sz w:val="26"/>
          <w:szCs w:val="26"/>
        </w:rPr>
        <w:t xml:space="preserve">c </w:t>
      </w:r>
      <w:r w:rsidRPr="00952574">
        <w:rPr>
          <w:rFonts w:ascii="Times New Roman" w:hAnsi="Times New Roman" w:cs="Times New Roman"/>
          <w:iCs/>
          <w:sz w:val="26"/>
          <w:szCs w:val="26"/>
        </w:rPr>
        <w:t xml:space="preserve">thúc đẩy tăng trưởng kinh tế </w:t>
      </w:r>
      <w:r>
        <w:rPr>
          <w:rFonts w:ascii="Times New Roman" w:hAnsi="Times New Roman" w:cs="Times New Roman"/>
          <w:iCs/>
          <w:sz w:val="26"/>
          <w:szCs w:val="26"/>
        </w:rPr>
        <w:t>tại Trung Quốc</w:t>
      </w:r>
      <w:r w:rsidRPr="00952574">
        <w:rPr>
          <w:rFonts w:ascii="Times New Roman" w:hAnsi="Times New Roman" w:cs="Times New Roman"/>
          <w:iCs/>
          <w:sz w:val="26"/>
          <w:szCs w:val="26"/>
        </w:rPr>
        <w:t>.</w:t>
      </w:r>
      <w:proofErr w:type="gramEnd"/>
      <w:r w:rsidRPr="00952574">
        <w:rPr>
          <w:rFonts w:ascii="Times New Roman" w:hAnsi="Times New Roman" w:cs="Times New Roman"/>
          <w:iCs/>
          <w:sz w:val="26"/>
          <w:szCs w:val="26"/>
        </w:rPr>
        <w:t xml:space="preserve"> Dữ liệu chính thức cho thấy các ngành dịch vụ thông tin và công nghệ hiện đóng góp tới hơn 60% tăng trưởng GDP ở Bắc Kinh</w:t>
      </w:r>
      <w:r>
        <w:rPr>
          <w:rFonts w:ascii="Times New Roman" w:hAnsi="Times New Roman" w:cs="Times New Roman"/>
          <w:iCs/>
          <w:sz w:val="26"/>
          <w:szCs w:val="26"/>
        </w:rPr>
        <w:t>.</w:t>
      </w:r>
    </w:p>
    <w:p w:rsidR="00952574" w:rsidRPr="00952574" w:rsidRDefault="00952574" w:rsidP="00D473CE">
      <w:pPr>
        <w:spacing w:line="312" w:lineRule="auto"/>
        <w:ind w:firstLine="720"/>
        <w:jc w:val="both"/>
        <w:rPr>
          <w:rFonts w:ascii="Times New Roman" w:hAnsi="Times New Roman" w:cs="Times New Roman"/>
          <w:iCs/>
          <w:sz w:val="26"/>
          <w:szCs w:val="26"/>
        </w:rPr>
      </w:pPr>
      <w:r w:rsidRPr="00952574">
        <w:rPr>
          <w:rFonts w:ascii="Times New Roman" w:hAnsi="Times New Roman" w:cs="Times New Roman"/>
          <w:iCs/>
          <w:sz w:val="26"/>
          <w:szCs w:val="26"/>
        </w:rPr>
        <w:t>Trong quý đầu tiên của năm</w:t>
      </w:r>
      <w:r w:rsidR="00D473CE">
        <w:rPr>
          <w:rFonts w:ascii="Times New Roman" w:hAnsi="Times New Roman" w:cs="Times New Roman"/>
          <w:iCs/>
          <w:sz w:val="26"/>
          <w:szCs w:val="26"/>
        </w:rPr>
        <w:t xml:space="preserve"> 2019</w:t>
      </w:r>
      <w:r w:rsidRPr="00952574">
        <w:rPr>
          <w:rFonts w:ascii="Times New Roman" w:hAnsi="Times New Roman" w:cs="Times New Roman"/>
          <w:iCs/>
          <w:sz w:val="26"/>
          <w:szCs w:val="26"/>
        </w:rPr>
        <w:t xml:space="preserve">, tỉnh Vân Nam </w:t>
      </w:r>
      <w:r w:rsidR="00D473CE">
        <w:rPr>
          <w:rFonts w:ascii="Times New Roman" w:hAnsi="Times New Roman" w:cs="Times New Roman"/>
          <w:iCs/>
          <w:sz w:val="26"/>
          <w:szCs w:val="26"/>
        </w:rPr>
        <w:t xml:space="preserve">ghi nhận </w:t>
      </w:r>
      <w:r w:rsidRPr="00952574">
        <w:rPr>
          <w:rFonts w:ascii="Times New Roman" w:hAnsi="Times New Roman" w:cs="Times New Roman"/>
          <w:iCs/>
          <w:sz w:val="26"/>
          <w:szCs w:val="26"/>
        </w:rPr>
        <w:t>tăng trưởng tổng sản phẩm quốc nội 9,7%, cao nhất trong số 31 tỉnh, thành phố và khu tự trị</w:t>
      </w:r>
      <w:r w:rsidR="00D473CE">
        <w:rPr>
          <w:rFonts w:ascii="Times New Roman" w:hAnsi="Times New Roman" w:cs="Times New Roman"/>
          <w:iCs/>
          <w:sz w:val="26"/>
          <w:szCs w:val="26"/>
        </w:rPr>
        <w:t xml:space="preserve"> của Trung Quốc</w:t>
      </w:r>
      <w:r w:rsidRPr="00952574">
        <w:rPr>
          <w:rFonts w:ascii="Times New Roman" w:hAnsi="Times New Roman" w:cs="Times New Roman"/>
          <w:iCs/>
          <w:sz w:val="26"/>
          <w:szCs w:val="26"/>
        </w:rPr>
        <w:t>, tiếp theo là tỉnh Quý Châu (9,2%) và khu vực tự trị Tây Tạ</w:t>
      </w:r>
      <w:r w:rsidR="00D473CE">
        <w:rPr>
          <w:rFonts w:ascii="Times New Roman" w:hAnsi="Times New Roman" w:cs="Times New Roman"/>
          <w:iCs/>
          <w:sz w:val="26"/>
          <w:szCs w:val="26"/>
        </w:rPr>
        <w:t xml:space="preserve">ng (9,1%). Trong khi đó </w:t>
      </w:r>
      <w:r w:rsidRPr="00952574">
        <w:rPr>
          <w:rFonts w:ascii="Times New Roman" w:hAnsi="Times New Roman" w:cs="Times New Roman"/>
          <w:iCs/>
          <w:sz w:val="26"/>
          <w:szCs w:val="26"/>
        </w:rPr>
        <w:t xml:space="preserve">GDP </w:t>
      </w:r>
      <w:r w:rsidR="00D473CE">
        <w:rPr>
          <w:rFonts w:ascii="Times New Roman" w:hAnsi="Times New Roman" w:cs="Times New Roman"/>
          <w:iCs/>
          <w:sz w:val="26"/>
          <w:szCs w:val="26"/>
        </w:rPr>
        <w:t>của Trung Quốc tăng</w:t>
      </w:r>
      <w:r w:rsidRPr="00952574">
        <w:rPr>
          <w:rFonts w:ascii="Times New Roman" w:hAnsi="Times New Roman" w:cs="Times New Roman"/>
          <w:iCs/>
          <w:sz w:val="26"/>
          <w:szCs w:val="26"/>
        </w:rPr>
        <w:t xml:space="preserve"> 6</w:t>
      </w:r>
      <w:proofErr w:type="gramStart"/>
      <w:r w:rsidRPr="00952574">
        <w:rPr>
          <w:rFonts w:ascii="Times New Roman" w:hAnsi="Times New Roman" w:cs="Times New Roman"/>
          <w:iCs/>
          <w:sz w:val="26"/>
          <w:szCs w:val="26"/>
        </w:rPr>
        <w:t>,4</w:t>
      </w:r>
      <w:proofErr w:type="gramEnd"/>
      <w:r w:rsidR="00D473CE">
        <w:rPr>
          <w:rFonts w:ascii="Times New Roman" w:hAnsi="Times New Roman" w:cs="Times New Roman"/>
          <w:iCs/>
          <w:sz w:val="26"/>
          <w:szCs w:val="26"/>
        </w:rPr>
        <w:t xml:space="preserve">% trong quí 1/2019. </w:t>
      </w:r>
    </w:p>
    <w:p w:rsidR="00375B5D" w:rsidRDefault="00375B5D" w:rsidP="00375B5D">
      <w:pPr>
        <w:spacing w:line="312" w:lineRule="auto"/>
        <w:ind w:firstLine="720"/>
        <w:jc w:val="both"/>
        <w:rPr>
          <w:rFonts w:ascii="Times New Roman" w:hAnsi="Times New Roman" w:cs="Times New Roman"/>
          <w:iCs/>
          <w:sz w:val="26"/>
          <w:szCs w:val="26"/>
        </w:rPr>
      </w:pPr>
      <w:r w:rsidRPr="00375B5D">
        <w:rPr>
          <w:rFonts w:ascii="Times New Roman" w:hAnsi="Times New Roman" w:cs="Times New Roman"/>
          <w:iCs/>
          <w:sz w:val="26"/>
          <w:szCs w:val="26"/>
        </w:rPr>
        <w:t>Quý Châu giáp với tỉnh </w:t>
      </w:r>
      <w:hyperlink r:id="rId10" w:tooltip="Tứ Xuyên" w:history="1">
        <w:r w:rsidRPr="00375B5D">
          <w:rPr>
            <w:rFonts w:ascii="Times New Roman" w:hAnsi="Times New Roman" w:cs="Times New Roman"/>
            <w:iCs/>
            <w:sz w:val="26"/>
            <w:szCs w:val="26"/>
          </w:rPr>
          <w:t>Tứ Xuyên</w:t>
        </w:r>
      </w:hyperlink>
      <w:r w:rsidRPr="00375B5D">
        <w:rPr>
          <w:rFonts w:ascii="Times New Roman" w:hAnsi="Times New Roman" w:cs="Times New Roman"/>
          <w:iCs/>
          <w:sz w:val="26"/>
          <w:szCs w:val="26"/>
        </w:rPr>
        <w:t> và thành phố </w:t>
      </w:r>
      <w:hyperlink r:id="rId11" w:tooltip="Trùng Khánh" w:history="1">
        <w:r w:rsidRPr="00375B5D">
          <w:rPr>
            <w:rFonts w:ascii="Times New Roman" w:hAnsi="Times New Roman" w:cs="Times New Roman"/>
            <w:iCs/>
            <w:sz w:val="26"/>
            <w:szCs w:val="26"/>
          </w:rPr>
          <w:t>Trùng Khánh</w:t>
        </w:r>
      </w:hyperlink>
      <w:r w:rsidRPr="00375B5D">
        <w:rPr>
          <w:rFonts w:ascii="Times New Roman" w:hAnsi="Times New Roman" w:cs="Times New Roman"/>
          <w:iCs/>
          <w:sz w:val="26"/>
          <w:szCs w:val="26"/>
        </w:rPr>
        <w:t> ở phía bắc, giáp với tỉnh </w:t>
      </w:r>
      <w:hyperlink r:id="rId12" w:tooltip="Vân Nam" w:history="1">
        <w:r w:rsidRPr="00375B5D">
          <w:rPr>
            <w:rFonts w:ascii="Times New Roman" w:hAnsi="Times New Roman" w:cs="Times New Roman"/>
            <w:iCs/>
            <w:sz w:val="26"/>
            <w:szCs w:val="26"/>
          </w:rPr>
          <w:t>Vân Nam</w:t>
        </w:r>
      </w:hyperlink>
      <w:r w:rsidRPr="00375B5D">
        <w:rPr>
          <w:rFonts w:ascii="Times New Roman" w:hAnsi="Times New Roman" w:cs="Times New Roman"/>
          <w:iCs/>
          <w:sz w:val="26"/>
          <w:szCs w:val="26"/>
        </w:rPr>
        <w:t> ở phía tây, giáp với </w:t>
      </w:r>
      <w:hyperlink r:id="rId13" w:tooltip="Quảng Tây" w:history="1">
        <w:r w:rsidRPr="00375B5D">
          <w:rPr>
            <w:rFonts w:ascii="Times New Roman" w:hAnsi="Times New Roman" w:cs="Times New Roman"/>
            <w:iCs/>
            <w:sz w:val="26"/>
            <w:szCs w:val="26"/>
          </w:rPr>
          <w:t>Quảng Tây</w:t>
        </w:r>
      </w:hyperlink>
      <w:r w:rsidRPr="00375B5D">
        <w:rPr>
          <w:rFonts w:ascii="Times New Roman" w:hAnsi="Times New Roman" w:cs="Times New Roman"/>
          <w:iCs/>
          <w:sz w:val="26"/>
          <w:szCs w:val="26"/>
        </w:rPr>
        <w:t> ở phía nam và giáp với tỉnh </w:t>
      </w:r>
      <w:hyperlink r:id="rId14" w:tooltip="Hồ Nam" w:history="1">
        <w:r w:rsidRPr="00375B5D">
          <w:rPr>
            <w:rFonts w:ascii="Times New Roman" w:hAnsi="Times New Roman" w:cs="Times New Roman"/>
            <w:iCs/>
            <w:sz w:val="26"/>
            <w:szCs w:val="26"/>
          </w:rPr>
          <w:t>Hồ Nam</w:t>
        </w:r>
      </w:hyperlink>
      <w:r w:rsidRPr="00375B5D">
        <w:rPr>
          <w:rFonts w:ascii="Times New Roman" w:hAnsi="Times New Roman" w:cs="Times New Roman"/>
          <w:iCs/>
          <w:sz w:val="26"/>
          <w:szCs w:val="26"/>
        </w:rPr>
        <w:t xml:space="preserve"> ở phía đông. </w:t>
      </w:r>
      <w:proofErr w:type="gramStart"/>
      <w:r w:rsidRPr="00375B5D">
        <w:rPr>
          <w:rFonts w:ascii="Times New Roman" w:hAnsi="Times New Roman" w:cs="Times New Roman"/>
          <w:iCs/>
          <w:sz w:val="26"/>
          <w:szCs w:val="26"/>
        </w:rPr>
        <w:t>Ngành công nghiệp dựa vào tự nhiên của tỉnh là lâm nghiệp</w:t>
      </w:r>
      <w:r>
        <w:rPr>
          <w:rFonts w:ascii="Times New Roman" w:hAnsi="Times New Roman" w:cs="Times New Roman"/>
          <w:iCs/>
          <w:sz w:val="26"/>
          <w:szCs w:val="26"/>
        </w:rPr>
        <w:t>.</w:t>
      </w:r>
      <w:proofErr w:type="gramEnd"/>
      <w:r w:rsidRPr="00375B5D">
        <w:rPr>
          <w:rFonts w:ascii="Times New Roman" w:hAnsi="Times New Roman" w:cs="Times New Roman"/>
          <w:iCs/>
          <w:sz w:val="26"/>
          <w:szCs w:val="26"/>
        </w:rPr>
        <w:t> </w:t>
      </w:r>
      <w:proofErr w:type="gramStart"/>
      <w:r w:rsidRPr="00375B5D">
        <w:rPr>
          <w:rFonts w:ascii="Times New Roman" w:hAnsi="Times New Roman" w:cs="Times New Roman"/>
          <w:iCs/>
          <w:sz w:val="26"/>
          <w:szCs w:val="26"/>
        </w:rPr>
        <w:t>Quý Châu cũng là tỉnh sản xuất thuốc lá lớn thứ ba tại Trung Quốc, và là nơi có thương hiệu thuốc lá Quý Châu nổi tiếng.</w:t>
      </w:r>
      <w:proofErr w:type="gramEnd"/>
      <w:r w:rsidRPr="00375B5D">
        <w:rPr>
          <w:rFonts w:ascii="Times New Roman" w:hAnsi="Times New Roman" w:cs="Times New Roman"/>
          <w:iCs/>
          <w:sz w:val="26"/>
          <w:szCs w:val="26"/>
        </w:rPr>
        <w:t xml:space="preserve"> Các ngành công nghiệp quan trọng khác tại Quý Châu bao gồm năng lượng (</w:t>
      </w:r>
      <w:hyperlink r:id="rId15" w:tooltip="Sản xuất điện năng" w:history="1">
        <w:r w:rsidRPr="00375B5D">
          <w:rPr>
            <w:rFonts w:ascii="Times New Roman" w:hAnsi="Times New Roman" w:cs="Times New Roman"/>
            <w:iCs/>
            <w:sz w:val="26"/>
            <w:szCs w:val="26"/>
          </w:rPr>
          <w:t>sản xuất điện năng</w:t>
        </w:r>
      </w:hyperlink>
      <w:r w:rsidRPr="00375B5D">
        <w:rPr>
          <w:rFonts w:ascii="Times New Roman" w:hAnsi="Times New Roman" w:cs="Times New Roman"/>
          <w:iCs/>
          <w:sz w:val="26"/>
          <w:szCs w:val="26"/>
        </w:rPr>
        <w:t>) - một phần lớn trong đó được đưa đến Quảng Đông và các tỉnh khác - và khai mỏ, đặc biệt là </w:t>
      </w:r>
      <w:hyperlink r:id="rId16" w:tooltip="Than đá" w:history="1">
        <w:r w:rsidRPr="00375B5D">
          <w:rPr>
            <w:rFonts w:ascii="Times New Roman" w:hAnsi="Times New Roman" w:cs="Times New Roman"/>
            <w:iCs/>
            <w:sz w:val="26"/>
            <w:szCs w:val="26"/>
          </w:rPr>
          <w:t>than đá</w:t>
        </w:r>
      </w:hyperlink>
      <w:r w:rsidRPr="00375B5D">
        <w:rPr>
          <w:rFonts w:ascii="Times New Roman" w:hAnsi="Times New Roman" w:cs="Times New Roman"/>
          <w:iCs/>
          <w:sz w:val="26"/>
          <w:szCs w:val="26"/>
        </w:rPr>
        <w:t>, </w:t>
      </w:r>
      <w:hyperlink r:id="rId17" w:tooltip="Đá vôi" w:history="1">
        <w:r w:rsidRPr="00375B5D">
          <w:rPr>
            <w:rFonts w:ascii="Times New Roman" w:hAnsi="Times New Roman" w:cs="Times New Roman"/>
            <w:iCs/>
            <w:sz w:val="26"/>
            <w:szCs w:val="26"/>
          </w:rPr>
          <w:t>đá vôi</w:t>
        </w:r>
      </w:hyperlink>
      <w:r w:rsidRPr="00375B5D">
        <w:rPr>
          <w:rFonts w:ascii="Times New Roman" w:hAnsi="Times New Roman" w:cs="Times New Roman"/>
          <w:iCs/>
          <w:sz w:val="26"/>
          <w:szCs w:val="26"/>
        </w:rPr>
        <w:t>, </w:t>
      </w:r>
      <w:hyperlink r:id="rId18" w:tooltip="Asen" w:history="1">
        <w:r w:rsidRPr="00375B5D">
          <w:rPr>
            <w:rFonts w:ascii="Times New Roman" w:hAnsi="Times New Roman" w:cs="Times New Roman"/>
            <w:iCs/>
            <w:sz w:val="26"/>
            <w:szCs w:val="26"/>
          </w:rPr>
          <w:t>thạch tín</w:t>
        </w:r>
      </w:hyperlink>
      <w:r w:rsidRPr="00375B5D">
        <w:rPr>
          <w:rFonts w:ascii="Times New Roman" w:hAnsi="Times New Roman" w:cs="Times New Roman"/>
          <w:iCs/>
          <w:sz w:val="26"/>
          <w:szCs w:val="26"/>
        </w:rPr>
        <w:t>, </w:t>
      </w:r>
      <w:hyperlink r:id="rId19" w:tooltip="Thạch cao" w:history="1">
        <w:r w:rsidRPr="00375B5D">
          <w:rPr>
            <w:rFonts w:ascii="Times New Roman" w:hAnsi="Times New Roman" w:cs="Times New Roman"/>
            <w:iCs/>
            <w:sz w:val="26"/>
            <w:szCs w:val="26"/>
          </w:rPr>
          <w:t>thạch cao</w:t>
        </w:r>
      </w:hyperlink>
      <w:r w:rsidRPr="00375B5D">
        <w:rPr>
          <w:rFonts w:ascii="Times New Roman" w:hAnsi="Times New Roman" w:cs="Times New Roman"/>
          <w:iCs/>
          <w:sz w:val="26"/>
          <w:szCs w:val="26"/>
        </w:rPr>
        <w:t>, và </w:t>
      </w:r>
      <w:hyperlink r:id="rId20" w:tooltip="Đá phiến dầu" w:history="1">
        <w:r w:rsidRPr="00375B5D">
          <w:rPr>
            <w:rFonts w:ascii="Times New Roman" w:hAnsi="Times New Roman" w:cs="Times New Roman"/>
            <w:iCs/>
            <w:sz w:val="26"/>
            <w:szCs w:val="26"/>
          </w:rPr>
          <w:t>đá phiến dầu</w:t>
        </w:r>
      </w:hyperlink>
      <w:r>
        <w:rPr>
          <w:rFonts w:ascii="Times New Roman" w:hAnsi="Times New Roman" w:cs="Times New Roman"/>
          <w:iCs/>
          <w:sz w:val="26"/>
          <w:szCs w:val="26"/>
        </w:rPr>
        <w:t>.</w:t>
      </w:r>
    </w:p>
    <w:p w:rsidR="00952574" w:rsidRPr="00952574" w:rsidRDefault="00952574" w:rsidP="00D473CE">
      <w:pPr>
        <w:spacing w:line="312" w:lineRule="auto"/>
        <w:ind w:firstLine="720"/>
        <w:jc w:val="both"/>
        <w:rPr>
          <w:rFonts w:ascii="Times New Roman" w:hAnsi="Times New Roman" w:cs="Times New Roman"/>
          <w:iCs/>
          <w:sz w:val="26"/>
          <w:szCs w:val="26"/>
        </w:rPr>
      </w:pPr>
      <w:r w:rsidRPr="00952574">
        <w:rPr>
          <w:rFonts w:ascii="Times New Roman" w:hAnsi="Times New Roman" w:cs="Times New Roman"/>
          <w:iCs/>
          <w:sz w:val="26"/>
          <w:szCs w:val="26"/>
        </w:rPr>
        <w:t xml:space="preserve">Trong quý đầu tiên, </w:t>
      </w:r>
      <w:r w:rsidR="00D473CE" w:rsidRPr="00952574">
        <w:rPr>
          <w:rFonts w:ascii="Times New Roman" w:hAnsi="Times New Roman" w:cs="Times New Roman"/>
          <w:iCs/>
          <w:sz w:val="26"/>
          <w:szCs w:val="26"/>
        </w:rPr>
        <w:t xml:space="preserve">giá trị gia tăng của các doanh nghiệp công nghiệp </w:t>
      </w:r>
      <w:r w:rsidR="00D473CE">
        <w:rPr>
          <w:rFonts w:ascii="Times New Roman" w:hAnsi="Times New Roman" w:cs="Times New Roman"/>
          <w:iCs/>
          <w:sz w:val="26"/>
          <w:szCs w:val="26"/>
        </w:rPr>
        <w:t xml:space="preserve">tại </w:t>
      </w:r>
      <w:r w:rsidRPr="00952574">
        <w:rPr>
          <w:rFonts w:ascii="Times New Roman" w:hAnsi="Times New Roman" w:cs="Times New Roman"/>
          <w:iCs/>
          <w:sz w:val="26"/>
          <w:szCs w:val="26"/>
        </w:rPr>
        <w:t xml:space="preserve">Quý Châu tăng trưởng 10,1% </w:t>
      </w:r>
      <w:r w:rsidR="00D473CE">
        <w:rPr>
          <w:rFonts w:ascii="Times New Roman" w:hAnsi="Times New Roman" w:cs="Times New Roman"/>
          <w:iCs/>
          <w:sz w:val="26"/>
          <w:szCs w:val="26"/>
        </w:rPr>
        <w:t>so với cùng kỳ năm trước</w:t>
      </w:r>
      <w:r w:rsidRPr="00952574">
        <w:rPr>
          <w:rFonts w:ascii="Times New Roman" w:hAnsi="Times New Roman" w:cs="Times New Roman"/>
          <w:iCs/>
          <w:sz w:val="26"/>
          <w:szCs w:val="26"/>
        </w:rPr>
        <w:t xml:space="preserve">, trong đó </w:t>
      </w:r>
      <w:r w:rsidR="00D473CE">
        <w:rPr>
          <w:rFonts w:ascii="Times New Roman" w:hAnsi="Times New Roman" w:cs="Times New Roman"/>
          <w:iCs/>
          <w:sz w:val="26"/>
          <w:szCs w:val="26"/>
        </w:rPr>
        <w:t>có</w:t>
      </w:r>
      <w:r w:rsidRPr="00952574">
        <w:rPr>
          <w:rFonts w:ascii="Times New Roman" w:hAnsi="Times New Roman" w:cs="Times New Roman"/>
          <w:iCs/>
          <w:sz w:val="26"/>
          <w:szCs w:val="26"/>
        </w:rPr>
        <w:t xml:space="preserve"> các doanh nghiệp công nghiệp có doanh thu hàng năm từ</w:t>
      </w:r>
      <w:r w:rsidR="00D473CE">
        <w:rPr>
          <w:rFonts w:ascii="Times New Roman" w:hAnsi="Times New Roman" w:cs="Times New Roman"/>
          <w:iCs/>
          <w:sz w:val="26"/>
          <w:szCs w:val="26"/>
        </w:rPr>
        <w:t xml:space="preserve"> hoạt động kinh doanh chính đạt</w:t>
      </w:r>
      <w:r w:rsidRPr="00952574">
        <w:rPr>
          <w:rFonts w:ascii="Times New Roman" w:hAnsi="Times New Roman" w:cs="Times New Roman"/>
          <w:iCs/>
          <w:sz w:val="26"/>
          <w:szCs w:val="26"/>
        </w:rPr>
        <w:t xml:space="preserve"> 20 triệu nhân dân tệ (2,89 triệu đô la Mỹ) </w:t>
      </w:r>
      <w:r w:rsidR="00D473CE">
        <w:rPr>
          <w:rFonts w:ascii="Times New Roman" w:hAnsi="Times New Roman" w:cs="Times New Roman"/>
          <w:iCs/>
          <w:sz w:val="26"/>
          <w:szCs w:val="26"/>
        </w:rPr>
        <w:t>trở lên</w:t>
      </w:r>
      <w:r>
        <w:rPr>
          <w:rFonts w:ascii="Times New Roman" w:hAnsi="Times New Roman" w:cs="Times New Roman"/>
          <w:iCs/>
          <w:sz w:val="26"/>
          <w:szCs w:val="26"/>
        </w:rPr>
        <w:t>.</w:t>
      </w:r>
      <w:r w:rsidR="00D473CE">
        <w:rPr>
          <w:rFonts w:ascii="Times New Roman" w:hAnsi="Times New Roman" w:cs="Times New Roman"/>
          <w:iCs/>
          <w:sz w:val="26"/>
          <w:szCs w:val="26"/>
        </w:rPr>
        <w:t xml:space="preserve"> </w:t>
      </w:r>
      <w:r w:rsidRPr="00952574">
        <w:rPr>
          <w:rFonts w:ascii="Times New Roman" w:hAnsi="Times New Roman" w:cs="Times New Roman"/>
          <w:iCs/>
          <w:sz w:val="26"/>
          <w:szCs w:val="26"/>
        </w:rPr>
        <w:t>Giá trị gia tăng của ngành công nghiệp sản xuất thiết bị tăng 24</w:t>
      </w:r>
      <w:proofErr w:type="gramStart"/>
      <w:r w:rsidRPr="00952574">
        <w:rPr>
          <w:rFonts w:ascii="Times New Roman" w:hAnsi="Times New Roman" w:cs="Times New Roman"/>
          <w:iCs/>
          <w:sz w:val="26"/>
          <w:szCs w:val="26"/>
        </w:rPr>
        <w:t>,3</w:t>
      </w:r>
      <w:proofErr w:type="gramEnd"/>
      <w:r w:rsidRPr="00952574">
        <w:rPr>
          <w:rFonts w:ascii="Times New Roman" w:hAnsi="Times New Roman" w:cs="Times New Roman"/>
          <w:iCs/>
          <w:sz w:val="26"/>
          <w:szCs w:val="26"/>
        </w:rPr>
        <w:t>% trong quý đầu tiên so với năm trước, cho thấy hiệu quả của tái cơ cấu công nghiệp, chuyển đổi và nâng cấp cho toàn tỉnh đã dần xuất hiện trong những năm gầ</w:t>
      </w:r>
      <w:r w:rsidR="00D473CE">
        <w:rPr>
          <w:rFonts w:ascii="Times New Roman" w:hAnsi="Times New Roman" w:cs="Times New Roman"/>
          <w:iCs/>
          <w:sz w:val="26"/>
          <w:szCs w:val="26"/>
        </w:rPr>
        <w:t>n đây.</w:t>
      </w:r>
    </w:p>
    <w:p w:rsidR="00952574" w:rsidRDefault="00952574" w:rsidP="00952574">
      <w:pPr>
        <w:spacing w:line="312" w:lineRule="auto"/>
        <w:ind w:firstLine="720"/>
        <w:jc w:val="both"/>
        <w:rPr>
          <w:rFonts w:ascii="Times New Roman" w:hAnsi="Times New Roman" w:cs="Times New Roman"/>
          <w:iCs/>
          <w:sz w:val="26"/>
          <w:szCs w:val="26"/>
        </w:rPr>
      </w:pPr>
      <w:proofErr w:type="gramStart"/>
      <w:r w:rsidRPr="00952574">
        <w:rPr>
          <w:rFonts w:ascii="Times New Roman" w:hAnsi="Times New Roman" w:cs="Times New Roman"/>
          <w:iCs/>
          <w:sz w:val="26"/>
          <w:szCs w:val="26"/>
        </w:rPr>
        <w:t>Bên cạnh đó, việc tích hợp dữ liệu lớn</w:t>
      </w:r>
      <w:r w:rsidR="00D473CE">
        <w:rPr>
          <w:rFonts w:ascii="Times New Roman" w:hAnsi="Times New Roman" w:cs="Times New Roman"/>
          <w:iCs/>
          <w:sz w:val="26"/>
          <w:szCs w:val="26"/>
        </w:rPr>
        <w:t xml:space="preserve"> (big data)</w:t>
      </w:r>
      <w:r w:rsidRPr="00952574">
        <w:rPr>
          <w:rFonts w:ascii="Times New Roman" w:hAnsi="Times New Roman" w:cs="Times New Roman"/>
          <w:iCs/>
          <w:sz w:val="26"/>
          <w:szCs w:val="26"/>
        </w:rPr>
        <w:t xml:space="preserve"> và </w:t>
      </w:r>
      <w:r w:rsidR="00D473CE">
        <w:rPr>
          <w:rFonts w:ascii="Times New Roman" w:hAnsi="Times New Roman" w:cs="Times New Roman"/>
          <w:iCs/>
          <w:sz w:val="26"/>
          <w:szCs w:val="26"/>
        </w:rPr>
        <w:t>các nền tảng của Cách mạng công nghiệp 4.0</w:t>
      </w:r>
      <w:r w:rsidRPr="00952574">
        <w:rPr>
          <w:rFonts w:ascii="Times New Roman" w:hAnsi="Times New Roman" w:cs="Times New Roman"/>
          <w:iCs/>
          <w:sz w:val="26"/>
          <w:szCs w:val="26"/>
        </w:rPr>
        <w:t xml:space="preserve"> trong lĩnh vực dịch vụ đã</w:t>
      </w:r>
      <w:r w:rsidR="00D473CE">
        <w:rPr>
          <w:rFonts w:ascii="Times New Roman" w:hAnsi="Times New Roman" w:cs="Times New Roman"/>
          <w:iCs/>
          <w:sz w:val="26"/>
          <w:szCs w:val="26"/>
        </w:rPr>
        <w:t xml:space="preserve"> tạo ra sự</w:t>
      </w:r>
      <w:r w:rsidRPr="00952574">
        <w:rPr>
          <w:rFonts w:ascii="Times New Roman" w:hAnsi="Times New Roman" w:cs="Times New Roman"/>
          <w:iCs/>
          <w:sz w:val="26"/>
          <w:szCs w:val="26"/>
        </w:rPr>
        <w:t xml:space="preserve"> tăng tốc</w:t>
      </w:r>
      <w:r w:rsidR="00D473CE">
        <w:rPr>
          <w:rFonts w:ascii="Times New Roman" w:hAnsi="Times New Roman" w:cs="Times New Roman"/>
          <w:iCs/>
          <w:sz w:val="26"/>
          <w:szCs w:val="26"/>
        </w:rPr>
        <w:t xml:space="preserve"> liên tục</w:t>
      </w:r>
      <w:r w:rsidRPr="00952574">
        <w:rPr>
          <w:rFonts w:ascii="Times New Roman" w:hAnsi="Times New Roman" w:cs="Times New Roman"/>
          <w:iCs/>
          <w:sz w:val="26"/>
          <w:szCs w:val="26"/>
        </w:rPr>
        <w:t xml:space="preserve"> ở Quý Châu.</w:t>
      </w:r>
      <w:proofErr w:type="gramEnd"/>
      <w:r w:rsidRPr="00952574">
        <w:rPr>
          <w:rFonts w:ascii="Times New Roman" w:hAnsi="Times New Roman" w:cs="Times New Roman"/>
          <w:iCs/>
          <w:sz w:val="26"/>
          <w:szCs w:val="26"/>
        </w:rPr>
        <w:t xml:space="preserve"> Đối với các doanh nghiệp ngành dịch vụ, thu nhập hoạt động của các công ty internet và các công ty có liên quan tăng 134</w:t>
      </w:r>
      <w:proofErr w:type="gramStart"/>
      <w:r w:rsidRPr="00952574">
        <w:rPr>
          <w:rFonts w:ascii="Times New Roman" w:hAnsi="Times New Roman" w:cs="Times New Roman"/>
          <w:iCs/>
          <w:sz w:val="26"/>
          <w:szCs w:val="26"/>
        </w:rPr>
        <w:t>,5</w:t>
      </w:r>
      <w:proofErr w:type="gramEnd"/>
      <w:r w:rsidRPr="00952574">
        <w:rPr>
          <w:rFonts w:ascii="Times New Roman" w:hAnsi="Times New Roman" w:cs="Times New Roman"/>
          <w:iCs/>
          <w:sz w:val="26"/>
          <w:szCs w:val="26"/>
        </w:rPr>
        <w:t>% so với cùng kỳ trong hai tháng đầ</w:t>
      </w:r>
      <w:r w:rsidR="00375B5D">
        <w:rPr>
          <w:rFonts w:ascii="Times New Roman" w:hAnsi="Times New Roman" w:cs="Times New Roman"/>
          <w:iCs/>
          <w:sz w:val="26"/>
          <w:szCs w:val="26"/>
        </w:rPr>
        <w:t>u năm 2019.</w:t>
      </w:r>
    </w:p>
    <w:p w:rsidR="00BE6124" w:rsidRPr="009F6F47" w:rsidRDefault="00D473CE" w:rsidP="00375B5D">
      <w:pPr>
        <w:spacing w:line="312" w:lineRule="auto"/>
        <w:ind w:firstLine="720"/>
        <w:jc w:val="both"/>
        <w:rPr>
          <w:rStyle w:val="Emphasis"/>
          <w:rFonts w:ascii="Times New Roman" w:hAnsi="Times New Roman" w:cs="Times New Roman"/>
          <w:i w:val="0"/>
          <w:sz w:val="26"/>
          <w:szCs w:val="26"/>
        </w:rPr>
      </w:pPr>
      <w:r w:rsidRPr="00D473CE">
        <w:rPr>
          <w:rFonts w:ascii="Times New Roman" w:hAnsi="Times New Roman" w:cs="Times New Roman"/>
          <w:iCs/>
          <w:sz w:val="26"/>
          <w:szCs w:val="26"/>
        </w:rPr>
        <w:t>Năm 2017,</w:t>
      </w:r>
      <w:r w:rsidRPr="00D473CE">
        <w:rPr>
          <w:rFonts w:ascii="Times New Roman" w:hAnsi="Times New Roman" w:cs="Times New Roman"/>
          <w:iCs/>
          <w:sz w:val="26"/>
          <w:szCs w:val="26"/>
        </w:rPr>
        <w:t xml:space="preserve"> một bản Thỏa thuận Hợp tác về Hành lang Dịch vụ Logistics quốc tế Tứ Xuyên-Quý Châu-Quảng Đông-Hongkong-Macao-Nam Á đã được ký kết giữa Chính quyền Vùng  Kiềm Nam, Hiệp hội Logistics Quảng Đông, Hiệp </w:t>
      </w:r>
      <w:r w:rsidRPr="00D473CE">
        <w:rPr>
          <w:rFonts w:ascii="Times New Roman" w:hAnsi="Times New Roman" w:cs="Times New Roman"/>
          <w:iCs/>
          <w:sz w:val="26"/>
          <w:szCs w:val="26"/>
        </w:rPr>
        <w:lastRenderedPageBreak/>
        <w:t>hội Logistics Hongkong, Liên đoàn Vận tải bộ ASEAN và Hiệp hội Doanh nghiệp dịch vụ Logistics Việt Nam.</w:t>
      </w:r>
    </w:p>
    <w:p w:rsidR="0007459B" w:rsidRPr="00015C54" w:rsidRDefault="0007459B" w:rsidP="00A90838">
      <w:pPr>
        <w:pStyle w:val="ListParagraph"/>
        <w:numPr>
          <w:ilvl w:val="0"/>
          <w:numId w:val="1"/>
        </w:numPr>
        <w:spacing w:line="312" w:lineRule="auto"/>
        <w:jc w:val="both"/>
        <w:outlineLvl w:val="0"/>
        <w:rPr>
          <w:rFonts w:ascii="Times New Roman" w:hAnsi="Times New Roman" w:cs="Times New Roman"/>
          <w:iCs/>
          <w:sz w:val="26"/>
          <w:szCs w:val="26"/>
        </w:rPr>
      </w:pPr>
      <w:bookmarkStart w:id="5" w:name="_Toc5634785"/>
      <w:r w:rsidRPr="00015C54">
        <w:rPr>
          <w:rFonts w:ascii="Times New Roman" w:hAnsi="Times New Roman" w:cs="Times New Roman"/>
          <w:b/>
          <w:sz w:val="26"/>
          <w:szCs w:val="26"/>
        </w:rPr>
        <w:t>Hoạt động vận tải</w:t>
      </w:r>
      <w:bookmarkEnd w:id="5"/>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634786"/>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6"/>
    </w:p>
    <w:p w:rsidR="00BB7546" w:rsidRDefault="0007459B" w:rsidP="00D47029">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w:t>
      </w:r>
      <w:r w:rsidR="00D47029">
        <w:rPr>
          <w:rStyle w:val="Emphasis"/>
          <w:rFonts w:ascii="Times New Roman" w:hAnsi="Times New Roman" w:cs="Times New Roman"/>
          <w:i w:val="0"/>
          <w:sz w:val="26"/>
          <w:szCs w:val="26"/>
        </w:rPr>
        <w:t xml:space="preserve">c, </w:t>
      </w:r>
      <w:r w:rsidRPr="00105E9D">
        <w:rPr>
          <w:rStyle w:val="Emphasis"/>
          <w:rFonts w:ascii="Times New Roman" w:hAnsi="Times New Roman" w:cs="Times New Roman"/>
          <w:i w:val="0"/>
          <w:sz w:val="26"/>
          <w:szCs w:val="26"/>
        </w:rPr>
        <w:t>trong</w:t>
      </w:r>
      <w:r w:rsidR="003334FF">
        <w:rPr>
          <w:rStyle w:val="Emphasis"/>
          <w:rFonts w:ascii="Times New Roman" w:hAnsi="Times New Roman" w:cs="Times New Roman"/>
          <w:i w:val="0"/>
          <w:sz w:val="26"/>
          <w:szCs w:val="26"/>
        </w:rPr>
        <w:t xml:space="preserve"> tháng </w:t>
      </w:r>
      <w:r w:rsidR="00891A20">
        <w:rPr>
          <w:rStyle w:val="Emphasis"/>
          <w:rFonts w:ascii="Times New Roman" w:hAnsi="Times New Roman" w:cs="Times New Roman"/>
          <w:i w:val="0"/>
          <w:sz w:val="26"/>
          <w:szCs w:val="26"/>
        </w:rPr>
        <w:t>4</w:t>
      </w:r>
      <w:r w:rsidR="00C30D8C">
        <w:rPr>
          <w:rStyle w:val="Emphasis"/>
          <w:rFonts w:ascii="Times New Roman" w:hAnsi="Times New Roman" w:cs="Times New Roman"/>
          <w:i w:val="0"/>
          <w:sz w:val="26"/>
          <w:szCs w:val="26"/>
        </w:rPr>
        <w:t>/2019</w:t>
      </w:r>
      <w:r w:rsidR="00ED3871">
        <w:rPr>
          <w:rStyle w:val="Emphasis"/>
          <w:rFonts w:ascii="Times New Roman" w:hAnsi="Times New Roman" w:cs="Times New Roman"/>
          <w:i w:val="0"/>
          <w:sz w:val="26"/>
          <w:szCs w:val="26"/>
        </w:rPr>
        <w:t>,</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99245A">
        <w:rPr>
          <w:rStyle w:val="Emphasis"/>
          <w:rFonts w:ascii="Times New Roman" w:hAnsi="Times New Roman" w:cs="Times New Roman"/>
          <w:i w:val="0"/>
          <w:sz w:val="26"/>
          <w:szCs w:val="26"/>
        </w:rPr>
        <w:t xml:space="preserve"> trên </w:t>
      </w:r>
      <w:r w:rsidR="00891A20">
        <w:rPr>
          <w:rStyle w:val="Emphasis"/>
          <w:rFonts w:ascii="Times New Roman" w:hAnsi="Times New Roman" w:cs="Times New Roman"/>
          <w:i w:val="0"/>
          <w:sz w:val="26"/>
          <w:szCs w:val="26"/>
        </w:rPr>
        <w:t>4,49</w:t>
      </w:r>
      <w:r w:rsidR="001033C8">
        <w:rPr>
          <w:rStyle w:val="Emphasis"/>
          <w:rFonts w:ascii="Times New Roman" w:hAnsi="Times New Roman" w:cs="Times New Roman"/>
          <w:i w:val="0"/>
          <w:sz w:val="26"/>
          <w:szCs w:val="26"/>
        </w:rPr>
        <w:t xml:space="preserve"> tỷ tấ</w:t>
      </w:r>
      <w:r w:rsidR="00C200DA">
        <w:rPr>
          <w:rStyle w:val="Emphasis"/>
          <w:rFonts w:ascii="Times New Roman" w:hAnsi="Times New Roman" w:cs="Times New Roman"/>
          <w:i w:val="0"/>
          <w:sz w:val="26"/>
          <w:szCs w:val="26"/>
        </w:rPr>
        <w:t>n</w:t>
      </w:r>
      <w:r w:rsidR="0099245A">
        <w:rPr>
          <w:rStyle w:val="Emphasis"/>
          <w:rFonts w:ascii="Times New Roman" w:hAnsi="Times New Roman" w:cs="Times New Roman"/>
          <w:i w:val="0"/>
          <w:sz w:val="26"/>
          <w:szCs w:val="26"/>
        </w:rPr>
        <w:t>,</w:t>
      </w:r>
      <w:r w:rsidR="00BB7402">
        <w:rPr>
          <w:rStyle w:val="Emphasis"/>
          <w:rFonts w:ascii="Times New Roman" w:hAnsi="Times New Roman" w:cs="Times New Roman"/>
          <w:i w:val="0"/>
          <w:sz w:val="26"/>
          <w:szCs w:val="26"/>
        </w:rPr>
        <w:t xml:space="preserve"> </w:t>
      </w:r>
      <w:r w:rsidR="00891A20">
        <w:rPr>
          <w:rStyle w:val="Emphasis"/>
          <w:rFonts w:ascii="Times New Roman" w:hAnsi="Times New Roman" w:cs="Times New Roman"/>
          <w:i w:val="0"/>
          <w:sz w:val="26"/>
          <w:szCs w:val="26"/>
        </w:rPr>
        <w:t>tăng 5,4% so với tháng trước đó và tăng 6,</w:t>
      </w:r>
      <w:r w:rsidR="00375B5D">
        <w:rPr>
          <w:rStyle w:val="Emphasis"/>
          <w:rFonts w:ascii="Times New Roman" w:hAnsi="Times New Roman" w:cs="Times New Roman"/>
          <w:i w:val="0"/>
          <w:sz w:val="26"/>
          <w:szCs w:val="26"/>
        </w:rPr>
        <w:t>1</w:t>
      </w:r>
      <w:r w:rsidR="00BB7402">
        <w:rPr>
          <w:rStyle w:val="Emphasis"/>
          <w:rFonts w:ascii="Times New Roman" w:hAnsi="Times New Roman" w:cs="Times New Roman"/>
          <w:i w:val="0"/>
          <w:sz w:val="26"/>
          <w:szCs w:val="26"/>
        </w:rPr>
        <w:t>% so với cùng kỳ năm trước</w:t>
      </w:r>
      <w:r w:rsidR="00ED3871">
        <w:rPr>
          <w:rStyle w:val="Emphasis"/>
          <w:rFonts w:ascii="Times New Roman" w:hAnsi="Times New Roman" w:cs="Times New Roman"/>
          <w:i w:val="0"/>
          <w:sz w:val="26"/>
          <w:szCs w:val="26"/>
        </w:rPr>
        <w:t xml:space="preserve">. </w:t>
      </w:r>
    </w:p>
    <w:p w:rsidR="0099245A" w:rsidRDefault="0099245A" w:rsidP="00D47029">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Tính </w:t>
      </w:r>
      <w:r w:rsidR="00BB7402">
        <w:rPr>
          <w:rStyle w:val="Emphasis"/>
          <w:rFonts w:ascii="Times New Roman" w:hAnsi="Times New Roman" w:cs="Times New Roman"/>
          <w:i w:val="0"/>
          <w:sz w:val="26"/>
          <w:szCs w:val="26"/>
        </w:rPr>
        <w:t xml:space="preserve">chung </w:t>
      </w:r>
      <w:r w:rsidR="00891A20">
        <w:rPr>
          <w:rStyle w:val="Emphasis"/>
          <w:rFonts w:ascii="Times New Roman" w:hAnsi="Times New Roman" w:cs="Times New Roman"/>
          <w:i w:val="0"/>
          <w:sz w:val="26"/>
          <w:szCs w:val="26"/>
        </w:rPr>
        <w:t>4 tháng đầu</w:t>
      </w:r>
      <w:r w:rsidR="00BB7402">
        <w:rPr>
          <w:rStyle w:val="Emphasis"/>
          <w:rFonts w:ascii="Times New Roman" w:hAnsi="Times New Roman" w:cs="Times New Roman"/>
          <w:i w:val="0"/>
          <w:sz w:val="26"/>
          <w:szCs w:val="26"/>
        </w:rPr>
        <w:t xml:space="preserve"> năm</w:t>
      </w:r>
      <w:r>
        <w:rPr>
          <w:rStyle w:val="Emphasis"/>
          <w:rFonts w:ascii="Times New Roman" w:hAnsi="Times New Roman" w:cs="Times New Roman"/>
          <w:i w:val="0"/>
          <w:sz w:val="26"/>
          <w:szCs w:val="26"/>
        </w:rPr>
        <w:t xml:space="preserve"> 2019, vận chuyển hàng hóa của Trung Quốc đạt trên </w:t>
      </w:r>
      <w:r w:rsidR="00891A20">
        <w:rPr>
          <w:rStyle w:val="Emphasis"/>
          <w:rFonts w:ascii="Times New Roman" w:hAnsi="Times New Roman" w:cs="Times New Roman"/>
          <w:i w:val="0"/>
          <w:sz w:val="26"/>
          <w:szCs w:val="26"/>
        </w:rPr>
        <w:t>15</w:t>
      </w:r>
      <w:proofErr w:type="gramStart"/>
      <w:r w:rsidR="00891A20">
        <w:rPr>
          <w:rStyle w:val="Emphasis"/>
          <w:rFonts w:ascii="Times New Roman" w:hAnsi="Times New Roman" w:cs="Times New Roman"/>
          <w:i w:val="0"/>
          <w:sz w:val="26"/>
          <w:szCs w:val="26"/>
        </w:rPr>
        <w:t>,3</w:t>
      </w:r>
      <w:proofErr w:type="gramEnd"/>
      <w:r w:rsidR="00891A20">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tỷ tấ</w:t>
      </w:r>
      <w:r w:rsidR="00BB7402">
        <w:rPr>
          <w:rStyle w:val="Emphasis"/>
          <w:rFonts w:ascii="Times New Roman" w:hAnsi="Times New Roman" w:cs="Times New Roman"/>
          <w:i w:val="0"/>
          <w:sz w:val="26"/>
          <w:szCs w:val="26"/>
        </w:rPr>
        <w:t xml:space="preserve">n, tăng 6,1 </w:t>
      </w:r>
      <w:r>
        <w:rPr>
          <w:rStyle w:val="Emphasis"/>
          <w:rFonts w:ascii="Times New Roman" w:hAnsi="Times New Roman" w:cs="Times New Roman"/>
          <w:i w:val="0"/>
          <w:sz w:val="26"/>
          <w:szCs w:val="26"/>
        </w:rPr>
        <w:t xml:space="preserve">% so với </w:t>
      </w:r>
      <w:r w:rsidR="00BB7402">
        <w:rPr>
          <w:rStyle w:val="Emphasis"/>
          <w:rFonts w:ascii="Times New Roman" w:hAnsi="Times New Roman" w:cs="Times New Roman"/>
          <w:i w:val="0"/>
          <w:sz w:val="26"/>
          <w:szCs w:val="26"/>
        </w:rPr>
        <w:t>cùng kỳ</w:t>
      </w:r>
      <w:r>
        <w:rPr>
          <w:rStyle w:val="Emphasis"/>
          <w:rFonts w:ascii="Times New Roman" w:hAnsi="Times New Roman" w:cs="Times New Roman"/>
          <w:i w:val="0"/>
          <w:sz w:val="26"/>
          <w:szCs w:val="26"/>
        </w:rPr>
        <w:t xml:space="preserve"> năm 2018. </w:t>
      </w:r>
    </w:p>
    <w:p w:rsidR="00C200DA" w:rsidRPr="00263306" w:rsidRDefault="007771F0" w:rsidP="00263306">
      <w:pPr>
        <w:spacing w:line="312" w:lineRule="auto"/>
        <w:ind w:firstLine="720"/>
        <w:jc w:val="center"/>
        <w:rPr>
          <w:rFonts w:ascii="Times New Roman" w:hAnsi="Times New Roman" w:cs="Times New Roman"/>
          <w:b/>
          <w:sz w:val="26"/>
          <w:szCs w:val="26"/>
        </w:rPr>
      </w:pPr>
      <w:bookmarkStart w:id="7" w:name="_Toc10017960"/>
      <w:r w:rsidRPr="00263306">
        <w:rPr>
          <w:rFonts w:ascii="Times New Roman" w:hAnsi="Times New Roman" w:cs="Times New Roman"/>
          <w:b/>
          <w:sz w:val="26"/>
          <w:szCs w:val="26"/>
        </w:rPr>
        <w:t xml:space="preserve">Hình </w:t>
      </w:r>
      <w:r w:rsidR="009B379A" w:rsidRPr="00263306">
        <w:rPr>
          <w:rFonts w:ascii="Times New Roman" w:hAnsi="Times New Roman" w:cs="Times New Roman"/>
          <w:b/>
          <w:sz w:val="26"/>
          <w:szCs w:val="26"/>
        </w:rPr>
        <w:fldChar w:fldCharType="begin"/>
      </w:r>
      <w:r w:rsidRPr="00263306">
        <w:rPr>
          <w:rFonts w:ascii="Times New Roman" w:hAnsi="Times New Roman" w:cs="Times New Roman"/>
          <w:b/>
          <w:sz w:val="26"/>
          <w:szCs w:val="26"/>
        </w:rPr>
        <w:instrText xml:space="preserve"> SEQ Hình \* ARABIC </w:instrText>
      </w:r>
      <w:r w:rsidR="009B379A" w:rsidRPr="00263306">
        <w:rPr>
          <w:rFonts w:ascii="Times New Roman" w:hAnsi="Times New Roman" w:cs="Times New Roman"/>
          <w:b/>
          <w:sz w:val="26"/>
          <w:szCs w:val="26"/>
        </w:rPr>
        <w:fldChar w:fldCharType="separate"/>
      </w:r>
      <w:r w:rsidR="00263306">
        <w:rPr>
          <w:rFonts w:ascii="Times New Roman" w:hAnsi="Times New Roman" w:cs="Times New Roman"/>
          <w:b/>
          <w:noProof/>
          <w:sz w:val="26"/>
          <w:szCs w:val="26"/>
        </w:rPr>
        <w:t>2</w:t>
      </w:r>
      <w:r w:rsidR="009B379A" w:rsidRPr="00263306">
        <w:rPr>
          <w:rFonts w:ascii="Times New Roman" w:hAnsi="Times New Roman" w:cs="Times New Roman"/>
          <w:b/>
          <w:sz w:val="26"/>
          <w:szCs w:val="26"/>
        </w:rPr>
        <w:fldChar w:fldCharType="end"/>
      </w:r>
      <w:r w:rsidRPr="00263306">
        <w:rPr>
          <w:rFonts w:ascii="Times New Roman" w:hAnsi="Times New Roman" w:cs="Times New Roman"/>
          <w:b/>
          <w:sz w:val="26"/>
          <w:szCs w:val="26"/>
        </w:rPr>
        <w:t xml:space="preserve">: Tổng lượng vận chuyển hàng hóa </w:t>
      </w:r>
      <w:proofErr w:type="gramStart"/>
      <w:r w:rsidR="0064258B" w:rsidRPr="00263306">
        <w:rPr>
          <w:rFonts w:ascii="Times New Roman" w:hAnsi="Times New Roman" w:cs="Times New Roman"/>
          <w:b/>
          <w:sz w:val="26"/>
          <w:szCs w:val="26"/>
        </w:rPr>
        <w:t>theo</w:t>
      </w:r>
      <w:proofErr w:type="gramEnd"/>
      <w:r w:rsidR="0064258B" w:rsidRPr="00263306">
        <w:rPr>
          <w:rFonts w:ascii="Times New Roman" w:hAnsi="Times New Roman" w:cs="Times New Roman"/>
          <w:b/>
          <w:sz w:val="26"/>
          <w:szCs w:val="26"/>
        </w:rPr>
        <w:t xml:space="preserve"> tháng </w:t>
      </w:r>
      <w:r w:rsidRPr="00263306">
        <w:rPr>
          <w:rFonts w:ascii="Times New Roman" w:hAnsi="Times New Roman" w:cs="Times New Roman"/>
          <w:b/>
          <w:sz w:val="26"/>
          <w:szCs w:val="26"/>
        </w:rPr>
        <w:t>của Trung Quốc</w:t>
      </w:r>
      <w:bookmarkEnd w:id="7"/>
    </w:p>
    <w:p w:rsidR="0099245A" w:rsidRPr="00BB7402" w:rsidRDefault="0099245A" w:rsidP="00BB7402">
      <w:pPr>
        <w:rPr>
          <w:rStyle w:val="Emphasis"/>
          <w:i w:val="0"/>
          <w:iCs w:val="0"/>
        </w:rPr>
      </w:pPr>
    </w:p>
    <w:p w:rsidR="0007459B" w:rsidRPr="00ED3871" w:rsidRDefault="00891A20" w:rsidP="00772D3A">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1B5E30A1" wp14:editId="077C405F">
            <wp:extent cx="542925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07459B" w:rsidRPr="00105E9D">
        <w:rPr>
          <w:rStyle w:val="Emphasis"/>
          <w:rFonts w:ascii="Times New Roman" w:hAnsi="Times New Roman" w:cs="Times New Roman"/>
          <w:sz w:val="26"/>
          <w:szCs w:val="26"/>
        </w:rPr>
        <w:t>Nguồn: tính toán từ số liệu của cơ quan thống kê quốc gia Trung Quốc</w:t>
      </w:r>
    </w:p>
    <w:p w:rsidR="00BB7546" w:rsidRDefault="00161A64" w:rsidP="00161A6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w:t>
      </w:r>
      <w:r w:rsidR="00891A20">
        <w:rPr>
          <w:rStyle w:val="Emphasis"/>
          <w:rFonts w:ascii="Times New Roman" w:hAnsi="Times New Roman" w:cs="Times New Roman"/>
          <w:i w:val="0"/>
          <w:sz w:val="26"/>
          <w:szCs w:val="26"/>
        </w:rPr>
        <w:t>4 tháng đầu</w:t>
      </w:r>
      <w:r w:rsidR="00302733">
        <w:rPr>
          <w:rStyle w:val="Emphasis"/>
          <w:rFonts w:ascii="Times New Roman" w:hAnsi="Times New Roman" w:cs="Times New Roman"/>
          <w:i w:val="0"/>
          <w:sz w:val="26"/>
          <w:szCs w:val="26"/>
        </w:rPr>
        <w:t xml:space="preserve"> năm </w:t>
      </w:r>
      <w:r>
        <w:rPr>
          <w:rStyle w:val="Emphasis"/>
          <w:rFonts w:ascii="Times New Roman" w:hAnsi="Times New Roman" w:cs="Times New Roman"/>
          <w:i w:val="0"/>
          <w:sz w:val="26"/>
          <w:szCs w:val="26"/>
        </w:rPr>
        <w:t>2019, vận chuyển hàng hóa đường bộ chiế</w:t>
      </w:r>
      <w:r w:rsidR="00891A20">
        <w:rPr>
          <w:rStyle w:val="Emphasis"/>
          <w:rFonts w:ascii="Times New Roman" w:hAnsi="Times New Roman" w:cs="Times New Roman"/>
          <w:i w:val="0"/>
          <w:sz w:val="26"/>
          <w:szCs w:val="26"/>
        </w:rPr>
        <w:t>m 76</w:t>
      </w:r>
      <w:proofErr w:type="gramStart"/>
      <w:r w:rsidR="00891A20">
        <w:rPr>
          <w:rStyle w:val="Emphasis"/>
          <w:rFonts w:ascii="Times New Roman" w:hAnsi="Times New Roman" w:cs="Times New Roman"/>
          <w:i w:val="0"/>
          <w:sz w:val="26"/>
          <w:szCs w:val="26"/>
        </w:rPr>
        <w:t>,61</w:t>
      </w:r>
      <w:proofErr w:type="gramEnd"/>
      <w:r>
        <w:rPr>
          <w:rStyle w:val="Emphasis"/>
          <w:rFonts w:ascii="Times New Roman" w:hAnsi="Times New Roman" w:cs="Times New Roman"/>
          <w:i w:val="0"/>
          <w:sz w:val="26"/>
          <w:szCs w:val="26"/>
        </w:rPr>
        <w:t xml:space="preserve">% tổng lượng hàng hóa vận chuyển của Trung Quốc. </w:t>
      </w:r>
    </w:p>
    <w:p w:rsidR="00161A64" w:rsidRDefault="00161A64" w:rsidP="00891A2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Đứng thứ 2 là đường thủy chiế</w:t>
      </w:r>
      <w:r w:rsidR="00891A20">
        <w:rPr>
          <w:rStyle w:val="Emphasis"/>
          <w:rFonts w:ascii="Times New Roman" w:hAnsi="Times New Roman" w:cs="Times New Roman"/>
          <w:i w:val="0"/>
          <w:sz w:val="26"/>
          <w:szCs w:val="26"/>
        </w:rPr>
        <w:t>m 15</w:t>
      </w:r>
      <w:proofErr w:type="gramStart"/>
      <w:r w:rsidR="00891A20">
        <w:rPr>
          <w:rStyle w:val="Emphasis"/>
          <w:rFonts w:ascii="Times New Roman" w:hAnsi="Times New Roman" w:cs="Times New Roman"/>
          <w:i w:val="0"/>
          <w:sz w:val="26"/>
          <w:szCs w:val="26"/>
        </w:rPr>
        <w:t>,58</w:t>
      </w:r>
      <w:proofErr w:type="gramEnd"/>
      <w:r>
        <w:rPr>
          <w:rStyle w:val="Emphasis"/>
          <w:rFonts w:ascii="Times New Roman" w:hAnsi="Times New Roman" w:cs="Times New Roman"/>
          <w:i w:val="0"/>
          <w:sz w:val="26"/>
          <w:szCs w:val="26"/>
        </w:rPr>
        <w:t>%</w:t>
      </w:r>
      <w:r w:rsidR="00891A20">
        <w:rPr>
          <w:rStyle w:val="Emphasis"/>
          <w:rFonts w:ascii="Times New Roman" w:hAnsi="Times New Roman" w:cs="Times New Roman"/>
          <w:i w:val="0"/>
          <w:sz w:val="26"/>
          <w:szCs w:val="26"/>
        </w:rPr>
        <w:t xml:space="preserve">. Tỷ trọng của vận chuyển hàng hóa bằng đường hàng không dân dụng tiếp tục giảm, do sụt giảm mạnh về lượng, khiến phương thức này chỉ còn chiếm 0,01% tổng lượng hàng hóa vận chuyển của Trung Quốc trong 4 tháng đầu năm 2019. </w:t>
      </w:r>
    </w:p>
    <w:p w:rsidR="0007459B" w:rsidRPr="00375B5D" w:rsidRDefault="007771F0" w:rsidP="00891A20">
      <w:pPr>
        <w:spacing w:line="312" w:lineRule="auto"/>
        <w:ind w:firstLine="720"/>
        <w:jc w:val="center"/>
        <w:rPr>
          <w:rFonts w:ascii="Times New Roman" w:hAnsi="Times New Roman" w:cs="Times New Roman"/>
          <w:b/>
          <w:iCs/>
          <w:sz w:val="26"/>
          <w:szCs w:val="26"/>
        </w:rPr>
      </w:pPr>
      <w:bookmarkStart w:id="8" w:name="_Toc10017974"/>
      <w:r w:rsidRPr="00375B5D">
        <w:rPr>
          <w:rFonts w:ascii="Times New Roman" w:hAnsi="Times New Roman" w:cs="Times New Roman"/>
          <w:b/>
          <w:iCs/>
          <w:sz w:val="26"/>
          <w:szCs w:val="26"/>
        </w:rPr>
        <w:lastRenderedPageBreak/>
        <w:t xml:space="preserve">Bảng </w:t>
      </w:r>
      <w:r w:rsidR="009B379A" w:rsidRPr="00375B5D">
        <w:rPr>
          <w:rFonts w:ascii="Times New Roman" w:hAnsi="Times New Roman" w:cs="Times New Roman"/>
          <w:b/>
          <w:iCs/>
          <w:sz w:val="26"/>
          <w:szCs w:val="26"/>
        </w:rPr>
        <w:fldChar w:fldCharType="begin"/>
      </w:r>
      <w:r w:rsidRPr="00375B5D">
        <w:rPr>
          <w:rFonts w:ascii="Times New Roman" w:hAnsi="Times New Roman" w:cs="Times New Roman"/>
          <w:b/>
          <w:iCs/>
          <w:sz w:val="26"/>
          <w:szCs w:val="26"/>
        </w:rPr>
        <w:instrText xml:space="preserve"> SEQ Bảng \* ARABIC </w:instrText>
      </w:r>
      <w:r w:rsidR="009B379A" w:rsidRPr="00375B5D">
        <w:rPr>
          <w:rFonts w:ascii="Times New Roman" w:hAnsi="Times New Roman" w:cs="Times New Roman"/>
          <w:b/>
          <w:iCs/>
          <w:sz w:val="26"/>
          <w:szCs w:val="26"/>
        </w:rPr>
        <w:fldChar w:fldCharType="separate"/>
      </w:r>
      <w:r w:rsidR="00630F2E" w:rsidRPr="00375B5D">
        <w:rPr>
          <w:rFonts w:ascii="Times New Roman" w:hAnsi="Times New Roman" w:cs="Times New Roman"/>
          <w:b/>
          <w:iCs/>
          <w:sz w:val="26"/>
          <w:szCs w:val="26"/>
        </w:rPr>
        <w:t>1</w:t>
      </w:r>
      <w:r w:rsidR="009B379A" w:rsidRPr="00375B5D">
        <w:rPr>
          <w:rFonts w:ascii="Times New Roman" w:hAnsi="Times New Roman" w:cs="Times New Roman"/>
          <w:b/>
          <w:iCs/>
          <w:sz w:val="26"/>
          <w:szCs w:val="26"/>
        </w:rPr>
        <w:fldChar w:fldCharType="end"/>
      </w:r>
      <w:r w:rsidRPr="00375B5D">
        <w:rPr>
          <w:rFonts w:ascii="Times New Roman" w:hAnsi="Times New Roman" w:cs="Times New Roman"/>
          <w:b/>
          <w:iCs/>
          <w:sz w:val="26"/>
          <w:szCs w:val="26"/>
        </w:rPr>
        <w:t>:</w:t>
      </w:r>
      <w:r w:rsidRPr="00375B5D">
        <w:rPr>
          <w:rFonts w:ascii="Times New Roman" w:hAnsi="Times New Roman" w:cs="Times New Roman"/>
          <w:b/>
          <w:i/>
          <w:iCs/>
          <w:sz w:val="26"/>
          <w:szCs w:val="26"/>
        </w:rPr>
        <w:t xml:space="preserve"> </w:t>
      </w:r>
      <w:r w:rsidR="0007459B" w:rsidRPr="00375B5D">
        <w:rPr>
          <w:rFonts w:ascii="Times New Roman" w:hAnsi="Times New Roman" w:cs="Times New Roman"/>
          <w:b/>
          <w:iCs/>
          <w:sz w:val="26"/>
          <w:szCs w:val="26"/>
        </w:rPr>
        <w:t xml:space="preserve">Các chỉ tiêu vận chuyển hàng hóa của Trung Quốc </w:t>
      </w:r>
      <w:r w:rsidR="00CC4D20" w:rsidRPr="00375B5D">
        <w:rPr>
          <w:rFonts w:ascii="Times New Roman" w:hAnsi="Times New Roman" w:cs="Times New Roman"/>
          <w:b/>
          <w:iCs/>
          <w:sz w:val="26"/>
          <w:szCs w:val="26"/>
        </w:rPr>
        <w:t xml:space="preserve">4 tháng đầu năm </w:t>
      </w:r>
      <w:r w:rsidR="0000753E" w:rsidRPr="00375B5D">
        <w:rPr>
          <w:rFonts w:ascii="Times New Roman" w:hAnsi="Times New Roman" w:cs="Times New Roman"/>
          <w:b/>
          <w:iCs/>
          <w:sz w:val="26"/>
          <w:szCs w:val="26"/>
        </w:rPr>
        <w:t>2019</w:t>
      </w:r>
      <w:bookmarkEnd w:id="8"/>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0"/>
        <w:gridCol w:w="2225"/>
        <w:gridCol w:w="1899"/>
        <w:gridCol w:w="2053"/>
      </w:tblGrid>
      <w:tr w:rsidR="0007459B" w:rsidRPr="00630374" w:rsidTr="00C9331F">
        <w:trPr>
          <w:trHeight w:val="555"/>
          <w:jc w:val="center"/>
        </w:trPr>
        <w:tc>
          <w:tcPr>
            <w:tcW w:w="2820"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p>
        </w:tc>
        <w:tc>
          <w:tcPr>
            <w:tcW w:w="2225" w:type="dxa"/>
            <w:shd w:val="clear" w:color="000000" w:fill="FFFF00"/>
            <w:noWrap/>
            <w:vAlign w:val="bottom"/>
            <w:hideMark/>
          </w:tcPr>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Lượng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r w:rsidR="003334FF" w:rsidRPr="00630374">
              <w:rPr>
                <w:rFonts w:ascii="Times New Roman" w:hAnsi="Times New Roman" w:cs="Times New Roman"/>
                <w:b/>
                <w:color w:val="000000"/>
                <w:sz w:val="26"/>
                <w:szCs w:val="26"/>
              </w:rPr>
              <w:t xml:space="preserve">Đvt: </w:t>
            </w:r>
            <w:r w:rsidRPr="00630374">
              <w:rPr>
                <w:rFonts w:ascii="Times New Roman" w:hAnsi="Times New Roman" w:cs="Times New Roman"/>
                <w:b/>
                <w:color w:val="000000"/>
                <w:sz w:val="26"/>
                <w:szCs w:val="26"/>
              </w:rPr>
              <w:t>10.000 tấn)</w:t>
            </w:r>
          </w:p>
        </w:tc>
        <w:tc>
          <w:tcPr>
            <w:tcW w:w="1899" w:type="dxa"/>
            <w:shd w:val="clear" w:color="000000" w:fill="FFFF00"/>
            <w:noWrap/>
            <w:vAlign w:val="bottom"/>
            <w:hideMark/>
          </w:tcPr>
          <w:p w:rsidR="003334FF"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Tỷ trọng</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c>
          <w:tcPr>
            <w:tcW w:w="2053" w:type="dxa"/>
            <w:shd w:val="clear" w:color="000000" w:fill="FFFF00"/>
            <w:noWrap/>
            <w:vAlign w:val="bottom"/>
            <w:hideMark/>
          </w:tcPr>
          <w:p w:rsidR="0064258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So cùng kỳ</w:t>
            </w:r>
          </w:p>
          <w:p w:rsidR="0007459B" w:rsidRPr="00630374" w:rsidRDefault="0007459B" w:rsidP="00D47029">
            <w:pPr>
              <w:spacing w:after="0" w:line="240" w:lineRule="auto"/>
              <w:jc w:val="center"/>
              <w:rPr>
                <w:rFonts w:ascii="Times New Roman" w:hAnsi="Times New Roman" w:cs="Times New Roman"/>
                <w:b/>
                <w:color w:val="000000"/>
                <w:sz w:val="26"/>
                <w:szCs w:val="26"/>
              </w:rPr>
            </w:pPr>
            <w:r w:rsidRPr="00630374">
              <w:rPr>
                <w:rFonts w:ascii="Times New Roman" w:hAnsi="Times New Roman" w:cs="Times New Roman"/>
                <w:b/>
                <w:color w:val="000000"/>
                <w:sz w:val="26"/>
                <w:szCs w:val="26"/>
              </w:rPr>
              <w:t>(%)</w:t>
            </w:r>
          </w:p>
        </w:tc>
      </w:tr>
      <w:tr w:rsidR="00CC4D20" w:rsidRPr="00630374" w:rsidTr="00C9331F">
        <w:trPr>
          <w:trHeight w:val="282"/>
          <w:jc w:val="center"/>
        </w:trPr>
        <w:tc>
          <w:tcPr>
            <w:tcW w:w="2820" w:type="dxa"/>
            <w:shd w:val="clear" w:color="auto" w:fill="auto"/>
            <w:noWrap/>
            <w:vAlign w:val="bottom"/>
            <w:hideMark/>
          </w:tcPr>
          <w:p w:rsidR="00CC4D20" w:rsidRPr="00630374" w:rsidRDefault="00CC4D2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 xml:space="preserve">Tổng </w:t>
            </w:r>
          </w:p>
        </w:tc>
        <w:tc>
          <w:tcPr>
            <w:tcW w:w="2225" w:type="dxa"/>
            <w:shd w:val="clear" w:color="000000" w:fill="FFFFFF"/>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1,534,258</w:t>
            </w:r>
          </w:p>
        </w:tc>
        <w:tc>
          <w:tcPr>
            <w:tcW w:w="1899" w:type="dxa"/>
            <w:shd w:val="clear" w:color="auto" w:fill="auto"/>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100.00</w:t>
            </w:r>
          </w:p>
        </w:tc>
        <w:tc>
          <w:tcPr>
            <w:tcW w:w="0" w:type="auto"/>
            <w:shd w:val="clear" w:color="auto" w:fill="auto"/>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6.10</w:t>
            </w:r>
          </w:p>
        </w:tc>
      </w:tr>
      <w:tr w:rsidR="00CC4D20" w:rsidRPr="00630374" w:rsidTr="00C9331F">
        <w:trPr>
          <w:trHeight w:val="355"/>
          <w:jc w:val="center"/>
        </w:trPr>
        <w:tc>
          <w:tcPr>
            <w:tcW w:w="2820" w:type="dxa"/>
            <w:shd w:val="clear" w:color="auto" w:fill="auto"/>
            <w:noWrap/>
            <w:vAlign w:val="bottom"/>
            <w:hideMark/>
          </w:tcPr>
          <w:p w:rsidR="00CC4D20" w:rsidRPr="00630374" w:rsidRDefault="00CC4D2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sắt</w:t>
            </w:r>
          </w:p>
        </w:tc>
        <w:tc>
          <w:tcPr>
            <w:tcW w:w="2225" w:type="dxa"/>
            <w:shd w:val="clear" w:color="000000" w:fill="FFFFFF"/>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134,873</w:t>
            </w:r>
          </w:p>
        </w:tc>
        <w:tc>
          <w:tcPr>
            <w:tcW w:w="1899" w:type="dxa"/>
            <w:shd w:val="clear" w:color="auto" w:fill="auto"/>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8.79</w:t>
            </w:r>
          </w:p>
        </w:tc>
        <w:tc>
          <w:tcPr>
            <w:tcW w:w="0" w:type="auto"/>
            <w:shd w:val="clear" w:color="000000" w:fill="FFFFFF"/>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4.60</w:t>
            </w:r>
          </w:p>
        </w:tc>
      </w:tr>
      <w:tr w:rsidR="00CC4D20" w:rsidRPr="00630374" w:rsidTr="00C9331F">
        <w:trPr>
          <w:trHeight w:val="355"/>
          <w:jc w:val="center"/>
        </w:trPr>
        <w:tc>
          <w:tcPr>
            <w:tcW w:w="2820" w:type="dxa"/>
            <w:shd w:val="clear" w:color="auto" w:fill="auto"/>
            <w:noWrap/>
            <w:vAlign w:val="bottom"/>
            <w:hideMark/>
          </w:tcPr>
          <w:p w:rsidR="00CC4D20" w:rsidRPr="00630374" w:rsidRDefault="00CC4D2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bộ</w:t>
            </w:r>
          </w:p>
        </w:tc>
        <w:tc>
          <w:tcPr>
            <w:tcW w:w="2225" w:type="dxa"/>
            <w:shd w:val="clear" w:color="000000" w:fill="FFFFFF"/>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1,175,396</w:t>
            </w:r>
          </w:p>
        </w:tc>
        <w:tc>
          <w:tcPr>
            <w:tcW w:w="1899" w:type="dxa"/>
            <w:shd w:val="clear" w:color="auto" w:fill="auto"/>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76.61</w:t>
            </w:r>
          </w:p>
        </w:tc>
        <w:tc>
          <w:tcPr>
            <w:tcW w:w="0" w:type="auto"/>
            <w:shd w:val="clear" w:color="000000" w:fill="FFFFFF"/>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5.8</w:t>
            </w:r>
          </w:p>
        </w:tc>
      </w:tr>
      <w:tr w:rsidR="00CC4D20" w:rsidRPr="00630374" w:rsidTr="00C9331F">
        <w:trPr>
          <w:trHeight w:val="355"/>
          <w:jc w:val="center"/>
        </w:trPr>
        <w:tc>
          <w:tcPr>
            <w:tcW w:w="2820" w:type="dxa"/>
            <w:shd w:val="clear" w:color="auto" w:fill="auto"/>
            <w:noWrap/>
            <w:vAlign w:val="bottom"/>
            <w:hideMark/>
          </w:tcPr>
          <w:p w:rsidR="00CC4D20" w:rsidRPr="00630374" w:rsidRDefault="00CC4D2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Đường thủy</w:t>
            </w:r>
          </w:p>
        </w:tc>
        <w:tc>
          <w:tcPr>
            <w:tcW w:w="2225" w:type="dxa"/>
            <w:shd w:val="clear" w:color="000000" w:fill="FFFFFF"/>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223,761</w:t>
            </w:r>
          </w:p>
        </w:tc>
        <w:tc>
          <w:tcPr>
            <w:tcW w:w="1899" w:type="dxa"/>
            <w:shd w:val="clear" w:color="auto" w:fill="auto"/>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14.58</w:t>
            </w:r>
          </w:p>
        </w:tc>
        <w:tc>
          <w:tcPr>
            <w:tcW w:w="0" w:type="auto"/>
            <w:shd w:val="clear" w:color="auto" w:fill="auto"/>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8.6</w:t>
            </w:r>
          </w:p>
        </w:tc>
      </w:tr>
      <w:tr w:rsidR="00CC4D20" w:rsidRPr="00630374" w:rsidTr="00C9331F">
        <w:trPr>
          <w:trHeight w:val="355"/>
          <w:jc w:val="center"/>
        </w:trPr>
        <w:tc>
          <w:tcPr>
            <w:tcW w:w="2820" w:type="dxa"/>
            <w:shd w:val="clear" w:color="auto" w:fill="auto"/>
            <w:noWrap/>
            <w:vAlign w:val="bottom"/>
            <w:hideMark/>
          </w:tcPr>
          <w:p w:rsidR="00CC4D20" w:rsidRPr="00630374" w:rsidRDefault="00CC4D20">
            <w:pPr>
              <w:rPr>
                <w:rFonts w:ascii="Times New Roman" w:hAnsi="Times New Roman" w:cs="Times New Roman"/>
                <w:color w:val="000000"/>
                <w:sz w:val="26"/>
                <w:szCs w:val="26"/>
              </w:rPr>
            </w:pPr>
            <w:r w:rsidRPr="00630374">
              <w:rPr>
                <w:rFonts w:ascii="Times New Roman" w:hAnsi="Times New Roman" w:cs="Times New Roman"/>
                <w:color w:val="000000"/>
                <w:sz w:val="26"/>
                <w:szCs w:val="26"/>
              </w:rPr>
              <w:t>Hàng không dân dụng</w:t>
            </w:r>
          </w:p>
        </w:tc>
        <w:tc>
          <w:tcPr>
            <w:tcW w:w="2225" w:type="dxa"/>
            <w:shd w:val="clear" w:color="000000" w:fill="FFFFFF"/>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228</w:t>
            </w:r>
          </w:p>
        </w:tc>
        <w:tc>
          <w:tcPr>
            <w:tcW w:w="1899" w:type="dxa"/>
            <w:shd w:val="clear" w:color="auto" w:fill="auto"/>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0.01</w:t>
            </w:r>
          </w:p>
        </w:tc>
        <w:tc>
          <w:tcPr>
            <w:tcW w:w="0" w:type="auto"/>
            <w:shd w:val="clear" w:color="auto" w:fill="auto"/>
            <w:noWrap/>
            <w:vAlign w:val="bottom"/>
          </w:tcPr>
          <w:p w:rsidR="00CC4D20" w:rsidRPr="00CC4D20" w:rsidRDefault="00CC4D20" w:rsidP="00891A20">
            <w:pPr>
              <w:jc w:val="right"/>
              <w:rPr>
                <w:rFonts w:ascii="Times New Roman" w:hAnsi="Times New Roman" w:cs="Times New Roman"/>
                <w:color w:val="000000"/>
                <w:sz w:val="26"/>
                <w:szCs w:val="26"/>
              </w:rPr>
            </w:pPr>
            <w:r w:rsidRPr="00CC4D20">
              <w:rPr>
                <w:rFonts w:ascii="Times New Roman" w:hAnsi="Times New Roman" w:cs="Times New Roman"/>
                <w:color w:val="000000"/>
                <w:sz w:val="26"/>
                <w:szCs w:val="26"/>
              </w:rPr>
              <w:t>-1.6</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00753E" w:rsidRPr="008372E1" w:rsidRDefault="007771F0" w:rsidP="00375B5D">
      <w:pPr>
        <w:spacing w:line="312" w:lineRule="auto"/>
        <w:ind w:firstLine="720"/>
        <w:jc w:val="center"/>
        <w:rPr>
          <w:rStyle w:val="Emphasis"/>
          <w:rFonts w:ascii="Times New Roman" w:hAnsi="Times New Roman" w:cs="Times New Roman"/>
          <w:b/>
          <w:i w:val="0"/>
          <w:iCs w:val="0"/>
          <w:sz w:val="26"/>
          <w:szCs w:val="26"/>
        </w:rPr>
      </w:pPr>
      <w:bookmarkStart w:id="9" w:name="_Toc10017961"/>
      <w:r w:rsidRPr="00263306">
        <w:rPr>
          <w:rFonts w:ascii="Times New Roman" w:hAnsi="Times New Roman" w:cs="Times New Roman"/>
          <w:b/>
          <w:sz w:val="26"/>
          <w:szCs w:val="26"/>
        </w:rPr>
        <w:t xml:space="preserve">Hình </w:t>
      </w:r>
      <w:r w:rsidR="009B379A" w:rsidRPr="00263306">
        <w:rPr>
          <w:rFonts w:ascii="Times New Roman" w:hAnsi="Times New Roman" w:cs="Times New Roman"/>
          <w:b/>
          <w:sz w:val="26"/>
          <w:szCs w:val="26"/>
        </w:rPr>
        <w:fldChar w:fldCharType="begin"/>
      </w:r>
      <w:r w:rsidRPr="00263306">
        <w:rPr>
          <w:rFonts w:ascii="Times New Roman" w:hAnsi="Times New Roman" w:cs="Times New Roman"/>
          <w:b/>
          <w:sz w:val="26"/>
          <w:szCs w:val="26"/>
        </w:rPr>
        <w:instrText xml:space="preserve"> SEQ Hình \* ARABIC </w:instrText>
      </w:r>
      <w:r w:rsidR="009B379A" w:rsidRPr="00263306">
        <w:rPr>
          <w:rFonts w:ascii="Times New Roman" w:hAnsi="Times New Roman" w:cs="Times New Roman"/>
          <w:b/>
          <w:sz w:val="26"/>
          <w:szCs w:val="26"/>
        </w:rPr>
        <w:fldChar w:fldCharType="separate"/>
      </w:r>
      <w:r w:rsidR="00263306">
        <w:rPr>
          <w:rFonts w:ascii="Times New Roman" w:hAnsi="Times New Roman" w:cs="Times New Roman"/>
          <w:b/>
          <w:noProof/>
          <w:sz w:val="26"/>
          <w:szCs w:val="26"/>
        </w:rPr>
        <w:t>3</w:t>
      </w:r>
      <w:r w:rsidR="009B379A" w:rsidRPr="00263306">
        <w:rPr>
          <w:rFonts w:ascii="Times New Roman" w:hAnsi="Times New Roman" w:cs="Times New Roman"/>
          <w:b/>
          <w:sz w:val="26"/>
          <w:szCs w:val="26"/>
        </w:rPr>
        <w:fldChar w:fldCharType="end"/>
      </w:r>
      <w:r w:rsidRPr="00263306">
        <w:rPr>
          <w:rFonts w:ascii="Times New Roman" w:hAnsi="Times New Roman" w:cs="Times New Roman"/>
          <w:b/>
          <w:sz w:val="26"/>
          <w:szCs w:val="26"/>
        </w:rPr>
        <w:t xml:space="preserve">: </w:t>
      </w:r>
      <w:r w:rsidR="0050379F" w:rsidRPr="00263306">
        <w:rPr>
          <w:rFonts w:ascii="Times New Roman" w:hAnsi="Times New Roman" w:cs="Times New Roman"/>
          <w:b/>
          <w:sz w:val="26"/>
          <w:szCs w:val="26"/>
        </w:rPr>
        <w:t xml:space="preserve">Cơ cấu vận chuyển hàng hóa </w:t>
      </w:r>
      <w:proofErr w:type="gramStart"/>
      <w:r w:rsidR="0050379F" w:rsidRPr="00263306">
        <w:rPr>
          <w:rFonts w:ascii="Times New Roman" w:hAnsi="Times New Roman" w:cs="Times New Roman"/>
          <w:b/>
          <w:sz w:val="26"/>
          <w:szCs w:val="26"/>
        </w:rPr>
        <w:t>theo</w:t>
      </w:r>
      <w:proofErr w:type="gramEnd"/>
      <w:r w:rsidR="0050379F" w:rsidRPr="00263306">
        <w:rPr>
          <w:rFonts w:ascii="Times New Roman" w:hAnsi="Times New Roman" w:cs="Times New Roman"/>
          <w:b/>
          <w:sz w:val="26"/>
          <w:szCs w:val="26"/>
        </w:rPr>
        <w:t xml:space="preserve"> phương thức vận tải của Trung Quố</w:t>
      </w:r>
      <w:r w:rsidR="003334FF" w:rsidRPr="00263306">
        <w:rPr>
          <w:rFonts w:ascii="Times New Roman" w:hAnsi="Times New Roman" w:cs="Times New Roman"/>
          <w:b/>
          <w:sz w:val="26"/>
          <w:szCs w:val="26"/>
        </w:rPr>
        <w:t xml:space="preserve">c </w:t>
      </w:r>
      <w:r w:rsidR="00891A20" w:rsidRPr="00263306">
        <w:rPr>
          <w:rFonts w:ascii="Times New Roman" w:hAnsi="Times New Roman" w:cs="Times New Roman"/>
          <w:b/>
          <w:sz w:val="26"/>
          <w:szCs w:val="26"/>
        </w:rPr>
        <w:t>trong 4 tháng đầu năm 2019</w:t>
      </w:r>
      <w:bookmarkEnd w:id="9"/>
    </w:p>
    <w:p w:rsidR="00891A20" w:rsidRDefault="00891A20" w:rsidP="00891A20">
      <w:pPr>
        <w:pStyle w:val="ListParagraph"/>
        <w:spacing w:line="312" w:lineRule="auto"/>
        <w:jc w:val="center"/>
        <w:rPr>
          <w:rStyle w:val="Emphasis"/>
          <w:rFonts w:ascii="Times New Roman" w:hAnsi="Times New Roman" w:cs="Times New Roman"/>
          <w:sz w:val="26"/>
          <w:szCs w:val="26"/>
        </w:rPr>
      </w:pPr>
      <w:r>
        <w:rPr>
          <w:noProof/>
        </w:rPr>
        <w:drawing>
          <wp:inline distT="0" distB="0" distL="0" distR="0" wp14:anchorId="44BE329C" wp14:editId="4FA86A0E">
            <wp:extent cx="4038600" cy="2749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19B4" w:rsidRPr="00BE6124" w:rsidRDefault="007771F0" w:rsidP="008A4AD6">
      <w:pPr>
        <w:pStyle w:val="ListParagraph"/>
        <w:spacing w:line="312" w:lineRule="auto"/>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AC37BB" w:rsidRDefault="0007459B" w:rsidP="005F6C14">
      <w:pPr>
        <w:pStyle w:val="ListParagraph"/>
        <w:numPr>
          <w:ilvl w:val="1"/>
          <w:numId w:val="1"/>
        </w:numPr>
        <w:spacing w:line="312" w:lineRule="auto"/>
        <w:ind w:left="0" w:firstLine="0"/>
        <w:outlineLvl w:val="1"/>
        <w:rPr>
          <w:rStyle w:val="Emphasis"/>
          <w:rFonts w:ascii="Times New Roman" w:hAnsi="Times New Roman" w:cs="Times New Roman"/>
          <w:b/>
          <w:sz w:val="26"/>
          <w:szCs w:val="26"/>
        </w:rPr>
      </w:pPr>
      <w:bookmarkStart w:id="10" w:name="_Toc5634787"/>
      <w:r w:rsidRPr="00AC37BB">
        <w:rPr>
          <w:rStyle w:val="Emphasis"/>
          <w:rFonts w:ascii="Times New Roman" w:hAnsi="Times New Roman" w:cs="Times New Roman"/>
          <w:b/>
          <w:sz w:val="26"/>
          <w:szCs w:val="26"/>
        </w:rPr>
        <w:t>Vận chuyển đường sắt:</w:t>
      </w:r>
      <w:bookmarkEnd w:id="10"/>
    </w:p>
    <w:p w:rsidR="00BB7546" w:rsidRDefault="007771F0" w:rsidP="008A4AD6">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891A20">
        <w:rPr>
          <w:rStyle w:val="Emphasis"/>
          <w:rFonts w:ascii="Times New Roman" w:hAnsi="Times New Roman" w:cs="Times New Roman"/>
          <w:i w:val="0"/>
          <w:sz w:val="26"/>
          <w:szCs w:val="26"/>
        </w:rPr>
        <w:t>4</w:t>
      </w:r>
      <w:r w:rsidR="00C30D8C">
        <w:rPr>
          <w:rStyle w:val="Emphasis"/>
          <w:rFonts w:ascii="Times New Roman" w:hAnsi="Times New Roman" w:cs="Times New Roman"/>
          <w:i w:val="0"/>
          <w:sz w:val="26"/>
          <w:szCs w:val="26"/>
        </w:rPr>
        <w:t>/2019</w:t>
      </w:r>
      <w:r w:rsidR="0076011B">
        <w:rPr>
          <w:rStyle w:val="Emphasis"/>
          <w:rFonts w:ascii="Times New Roman" w:hAnsi="Times New Roman" w:cs="Times New Roman"/>
          <w:i w:val="0"/>
          <w:sz w:val="26"/>
          <w:szCs w:val="26"/>
        </w:rPr>
        <w:t xml:space="preserve"> </w:t>
      </w:r>
      <w:r w:rsidR="00891A20">
        <w:rPr>
          <w:rStyle w:val="Emphasis"/>
          <w:rFonts w:ascii="Times New Roman" w:hAnsi="Times New Roman" w:cs="Times New Roman"/>
          <w:i w:val="0"/>
          <w:sz w:val="26"/>
          <w:szCs w:val="26"/>
        </w:rPr>
        <w:t xml:space="preserve">tiếp tục tăng mạnh, </w:t>
      </w:r>
      <w:r w:rsidR="0076011B">
        <w:rPr>
          <w:rStyle w:val="Emphasis"/>
          <w:rFonts w:ascii="Times New Roman" w:hAnsi="Times New Roman" w:cs="Times New Roman"/>
          <w:i w:val="0"/>
          <w:sz w:val="26"/>
          <w:szCs w:val="26"/>
        </w:rPr>
        <w:t>đạt</w:t>
      </w:r>
      <w:r w:rsidR="00814E8F">
        <w:rPr>
          <w:rStyle w:val="Emphasis"/>
          <w:rFonts w:ascii="Times New Roman" w:hAnsi="Times New Roman" w:cs="Times New Roman"/>
          <w:i w:val="0"/>
          <w:sz w:val="26"/>
          <w:szCs w:val="26"/>
        </w:rPr>
        <w:t xml:space="preserve"> </w:t>
      </w:r>
      <w:r w:rsidR="00891A20">
        <w:rPr>
          <w:rStyle w:val="Emphasis"/>
          <w:rFonts w:ascii="Times New Roman" w:hAnsi="Times New Roman" w:cs="Times New Roman"/>
          <w:i w:val="0"/>
          <w:sz w:val="26"/>
          <w:szCs w:val="26"/>
        </w:rPr>
        <w:t>335</w:t>
      </w:r>
      <w:r w:rsidR="00BB7402">
        <w:rPr>
          <w:rStyle w:val="Emphasis"/>
          <w:rFonts w:ascii="Times New Roman" w:hAnsi="Times New Roman" w:cs="Times New Roman"/>
          <w:i w:val="0"/>
          <w:sz w:val="26"/>
          <w:szCs w:val="26"/>
        </w:rPr>
        <w:t>,</w:t>
      </w:r>
      <w:r w:rsidR="00891A20">
        <w:rPr>
          <w:rStyle w:val="Emphasis"/>
          <w:rFonts w:ascii="Times New Roman" w:hAnsi="Times New Roman" w:cs="Times New Roman"/>
          <w:i w:val="0"/>
          <w:sz w:val="26"/>
          <w:szCs w:val="26"/>
        </w:rPr>
        <w:t>4</w:t>
      </w:r>
      <w:r w:rsidR="00BB7402">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triệu tấn</w:t>
      </w:r>
      <w:r w:rsidR="00B752B6">
        <w:rPr>
          <w:rStyle w:val="Emphasis"/>
          <w:rFonts w:ascii="Times New Roman" w:hAnsi="Times New Roman" w:cs="Times New Roman"/>
          <w:i w:val="0"/>
          <w:sz w:val="26"/>
          <w:szCs w:val="26"/>
        </w:rPr>
        <w:t>,</w:t>
      </w:r>
      <w:r w:rsidR="00891A20">
        <w:rPr>
          <w:rStyle w:val="Emphasis"/>
          <w:rFonts w:ascii="Times New Roman" w:hAnsi="Times New Roman" w:cs="Times New Roman"/>
          <w:i w:val="0"/>
          <w:sz w:val="26"/>
          <w:szCs w:val="26"/>
        </w:rPr>
        <w:t xml:space="preserve"> tăng 29,2% so với tháng 3/2019 và</w:t>
      </w:r>
      <w:r w:rsidR="00B752B6">
        <w:rPr>
          <w:rStyle w:val="Emphasis"/>
          <w:rFonts w:ascii="Times New Roman" w:hAnsi="Times New Roman" w:cs="Times New Roman"/>
          <w:i w:val="0"/>
          <w:sz w:val="26"/>
          <w:szCs w:val="26"/>
        </w:rPr>
        <w:t xml:space="preserve"> </w:t>
      </w:r>
      <w:r w:rsidR="00BB7402">
        <w:rPr>
          <w:rStyle w:val="Emphasis"/>
          <w:rFonts w:ascii="Times New Roman" w:hAnsi="Times New Roman" w:cs="Times New Roman"/>
          <w:i w:val="0"/>
          <w:sz w:val="26"/>
          <w:szCs w:val="26"/>
        </w:rPr>
        <w:t xml:space="preserve">tăng </w:t>
      </w:r>
      <w:r w:rsidR="00891A20">
        <w:rPr>
          <w:rStyle w:val="Emphasis"/>
          <w:rFonts w:ascii="Times New Roman" w:hAnsi="Times New Roman" w:cs="Times New Roman"/>
          <w:i w:val="0"/>
          <w:sz w:val="26"/>
          <w:szCs w:val="26"/>
        </w:rPr>
        <w:t>10</w:t>
      </w:r>
      <w:r w:rsidR="00674070">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so với cùng kỳ năm trước</w:t>
      </w:r>
      <w:r w:rsidR="00814E8F">
        <w:rPr>
          <w:rStyle w:val="Emphasis"/>
          <w:rFonts w:ascii="Times New Roman" w:hAnsi="Times New Roman" w:cs="Times New Roman"/>
          <w:i w:val="0"/>
          <w:sz w:val="26"/>
          <w:szCs w:val="26"/>
        </w:rPr>
        <w:t>.</w:t>
      </w:r>
      <w:r w:rsidR="008A4AD6">
        <w:rPr>
          <w:rStyle w:val="Emphasis"/>
          <w:rFonts w:ascii="Times New Roman" w:hAnsi="Times New Roman" w:cs="Times New Roman"/>
          <w:i w:val="0"/>
          <w:sz w:val="26"/>
          <w:szCs w:val="26"/>
        </w:rPr>
        <w:t xml:space="preserve"> </w:t>
      </w:r>
      <w:proofErr w:type="gramStart"/>
      <w:r w:rsidR="008A4AD6">
        <w:rPr>
          <w:rStyle w:val="Emphasis"/>
          <w:rFonts w:ascii="Times New Roman" w:hAnsi="Times New Roman" w:cs="Times New Roman"/>
          <w:i w:val="0"/>
          <w:sz w:val="26"/>
          <w:szCs w:val="26"/>
        </w:rPr>
        <w:t>Đây cũng là mức tăng cao nhất trong tháng so với cùng kỳ năm trước trong số các phương thức vận tải.</w:t>
      </w:r>
      <w:proofErr w:type="gramEnd"/>
      <w:r w:rsidR="008A4AD6">
        <w:rPr>
          <w:rStyle w:val="Emphasis"/>
          <w:rFonts w:ascii="Times New Roman" w:hAnsi="Times New Roman" w:cs="Times New Roman"/>
          <w:i w:val="0"/>
          <w:sz w:val="26"/>
          <w:szCs w:val="26"/>
        </w:rPr>
        <w:t xml:space="preserve"> </w:t>
      </w:r>
    </w:p>
    <w:p w:rsidR="0064258B" w:rsidRDefault="00EB066A" w:rsidP="009E1305">
      <w:pPr>
        <w:pStyle w:val="ListParagraph"/>
        <w:spacing w:line="240" w:lineRule="auto"/>
        <w:jc w:val="center"/>
        <w:rPr>
          <w:rFonts w:ascii="Times New Roman" w:hAnsi="Times New Roman" w:cs="Times New Roman"/>
          <w:b/>
          <w:sz w:val="26"/>
          <w:szCs w:val="26"/>
        </w:rPr>
      </w:pPr>
      <w:bookmarkStart w:id="11" w:name="_Toc10017962"/>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375B5D">
        <w:rPr>
          <w:rFonts w:ascii="Times New Roman" w:hAnsi="Times New Roman" w:cs="Times New Roman"/>
          <w:b/>
          <w:noProof/>
          <w:sz w:val="26"/>
          <w:szCs w:val="26"/>
        </w:rPr>
        <w:t>4</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1"/>
    </w:p>
    <w:p w:rsidR="00BB7402" w:rsidRPr="008A4AD6" w:rsidRDefault="00EB066A" w:rsidP="008A4AD6">
      <w:pPr>
        <w:pStyle w:val="ListParagraph"/>
        <w:spacing w:line="240" w:lineRule="auto"/>
        <w:ind w:left="0"/>
        <w:jc w:val="center"/>
        <w:rPr>
          <w:rStyle w:val="Emphasis"/>
          <w:rFonts w:ascii="Times New Roman" w:hAnsi="Times New Roman" w:cs="Times New Roman"/>
          <w:b/>
          <w:i w:val="0"/>
          <w:iCs w:val="0"/>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8A4AD6" w:rsidRDefault="008A4AD6" w:rsidP="008A4AD6">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0AF97DB2" wp14:editId="2057CAA4">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243B3" w:rsidRDefault="007771F0" w:rsidP="008A4AD6">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w:t>
      </w:r>
      <w:r w:rsidR="008A4AD6">
        <w:rPr>
          <w:rStyle w:val="Emphasis"/>
          <w:rFonts w:ascii="Times New Roman" w:hAnsi="Times New Roman" w:cs="Times New Roman"/>
          <w:sz w:val="26"/>
          <w:szCs w:val="26"/>
        </w:rPr>
        <w:t>n: T</w:t>
      </w:r>
      <w:r w:rsidRPr="00105E9D">
        <w:rPr>
          <w:rStyle w:val="Emphasis"/>
          <w:rFonts w:ascii="Times New Roman" w:hAnsi="Times New Roman" w:cs="Times New Roman"/>
          <w:sz w:val="26"/>
          <w:szCs w:val="26"/>
        </w:rPr>
        <w:t>ính toán từ số liệu của cơ quan thống kê quốc gia Trung Quốc</w:t>
      </w:r>
    </w:p>
    <w:p w:rsidR="007F2D78" w:rsidRDefault="00DF6CAB" w:rsidP="007F2D7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Tính chung </w:t>
      </w:r>
      <w:r w:rsidR="00891A20">
        <w:rPr>
          <w:rStyle w:val="Emphasis"/>
          <w:rFonts w:ascii="Times New Roman" w:hAnsi="Times New Roman" w:cs="Times New Roman"/>
          <w:i w:val="0"/>
          <w:sz w:val="26"/>
          <w:szCs w:val="26"/>
        </w:rPr>
        <w:t xml:space="preserve">4 </w:t>
      </w:r>
      <w:r>
        <w:rPr>
          <w:rStyle w:val="Emphasis"/>
          <w:rFonts w:ascii="Times New Roman" w:hAnsi="Times New Roman" w:cs="Times New Roman"/>
          <w:i w:val="0"/>
          <w:sz w:val="26"/>
          <w:szCs w:val="26"/>
        </w:rPr>
        <w:t xml:space="preserve">tháng đầu năm vận chuyển bằng phương thức này đạt </w:t>
      </w:r>
      <w:r w:rsidR="00891A20">
        <w:rPr>
          <w:rStyle w:val="Emphasis"/>
          <w:rFonts w:ascii="Times New Roman" w:hAnsi="Times New Roman" w:cs="Times New Roman"/>
          <w:i w:val="0"/>
          <w:sz w:val="26"/>
          <w:szCs w:val="26"/>
        </w:rPr>
        <w:t xml:space="preserve">1348 </w:t>
      </w:r>
      <w:r>
        <w:rPr>
          <w:rStyle w:val="Emphasis"/>
          <w:rFonts w:ascii="Times New Roman" w:hAnsi="Times New Roman" w:cs="Times New Roman"/>
          <w:i w:val="0"/>
          <w:sz w:val="26"/>
          <w:szCs w:val="26"/>
        </w:rPr>
        <w:t xml:space="preserve">triệu tấn, tăng </w:t>
      </w:r>
      <w:r w:rsidR="00891A20">
        <w:rPr>
          <w:rStyle w:val="Emphasis"/>
          <w:rFonts w:ascii="Times New Roman" w:hAnsi="Times New Roman" w:cs="Times New Roman"/>
          <w:i w:val="0"/>
          <w:sz w:val="26"/>
          <w:szCs w:val="26"/>
        </w:rPr>
        <w:t>4</w:t>
      </w:r>
      <w:proofErr w:type="gramStart"/>
      <w:r w:rsidR="00891A20">
        <w:rPr>
          <w:rStyle w:val="Emphasis"/>
          <w:rFonts w:ascii="Times New Roman" w:hAnsi="Times New Roman" w:cs="Times New Roman"/>
          <w:i w:val="0"/>
          <w:sz w:val="26"/>
          <w:szCs w:val="26"/>
        </w:rPr>
        <w:t>,6</w:t>
      </w:r>
      <w:proofErr w:type="gramEnd"/>
      <w:r>
        <w:rPr>
          <w:rStyle w:val="Emphasis"/>
          <w:rFonts w:ascii="Times New Roman" w:hAnsi="Times New Roman" w:cs="Times New Roman"/>
          <w:i w:val="0"/>
          <w:sz w:val="26"/>
          <w:szCs w:val="26"/>
        </w:rPr>
        <w:t xml:space="preserve">% so với </w:t>
      </w:r>
      <w:r w:rsidR="00891A20">
        <w:rPr>
          <w:rStyle w:val="Emphasis"/>
          <w:rFonts w:ascii="Times New Roman" w:hAnsi="Times New Roman" w:cs="Times New Roman"/>
          <w:i w:val="0"/>
          <w:sz w:val="26"/>
          <w:szCs w:val="26"/>
        </w:rPr>
        <w:t>cùng kỳ năm 2018.</w:t>
      </w:r>
    </w:p>
    <w:p w:rsidR="003C4E0C" w:rsidRPr="003C4E0C" w:rsidRDefault="0009306F" w:rsidP="007F2D78">
      <w:pPr>
        <w:spacing w:line="312" w:lineRule="auto"/>
        <w:ind w:firstLine="720"/>
        <w:jc w:val="both"/>
        <w:rPr>
          <w:rStyle w:val="Emphasis"/>
          <w:rFonts w:ascii="Times New Roman" w:hAnsi="Times New Roman" w:cs="Times New Roman"/>
          <w:sz w:val="26"/>
          <w:szCs w:val="26"/>
        </w:rPr>
      </w:pPr>
      <w:proofErr w:type="gramStart"/>
      <w:r>
        <w:rPr>
          <w:rStyle w:val="Emphasis"/>
          <w:rFonts w:ascii="Times New Roman" w:hAnsi="Times New Roman" w:cs="Times New Roman"/>
          <w:sz w:val="26"/>
          <w:szCs w:val="26"/>
        </w:rPr>
        <w:t>Vận chuyển đ</w:t>
      </w:r>
      <w:r w:rsidR="003C4E0C" w:rsidRPr="003C4E0C">
        <w:rPr>
          <w:rStyle w:val="Emphasis"/>
          <w:rFonts w:ascii="Times New Roman" w:hAnsi="Times New Roman" w:cs="Times New Roman"/>
          <w:sz w:val="26"/>
          <w:szCs w:val="26"/>
        </w:rPr>
        <w:t>ường sắ</w:t>
      </w:r>
      <w:r w:rsidR="00375B5D">
        <w:rPr>
          <w:rStyle w:val="Emphasis"/>
          <w:rFonts w:ascii="Times New Roman" w:hAnsi="Times New Roman" w:cs="Times New Roman"/>
          <w:sz w:val="26"/>
          <w:szCs w:val="26"/>
        </w:rPr>
        <w:t>t</w:t>
      </w:r>
      <w:r>
        <w:rPr>
          <w:rStyle w:val="Emphasis"/>
          <w:rFonts w:ascii="Times New Roman" w:hAnsi="Times New Roman" w:cs="Times New Roman"/>
          <w:sz w:val="26"/>
          <w:szCs w:val="26"/>
        </w:rPr>
        <w:t xml:space="preserve"> </w:t>
      </w:r>
      <w:r w:rsidR="00F24132">
        <w:rPr>
          <w:rStyle w:val="Emphasis"/>
          <w:rFonts w:ascii="Times New Roman" w:hAnsi="Times New Roman" w:cs="Times New Roman"/>
          <w:sz w:val="26"/>
          <w:szCs w:val="26"/>
        </w:rPr>
        <w:t>đa lớp container</w:t>
      </w:r>
      <w:r w:rsidR="00375B5D">
        <w:rPr>
          <w:rStyle w:val="Emphasis"/>
          <w:rFonts w:ascii="Times New Roman" w:hAnsi="Times New Roman" w:cs="Times New Roman"/>
          <w:sz w:val="26"/>
          <w:szCs w:val="26"/>
        </w:rPr>
        <w:t xml:space="preserve"> </w:t>
      </w:r>
      <w:r w:rsidR="003C4E0C" w:rsidRPr="003C4E0C">
        <w:rPr>
          <w:rStyle w:val="Emphasis"/>
          <w:rFonts w:ascii="Times New Roman" w:hAnsi="Times New Roman" w:cs="Times New Roman"/>
          <w:sz w:val="26"/>
          <w:szCs w:val="26"/>
        </w:rPr>
        <w:t>- Giải pháp tránh tắc nghẽn cho vận chuyển đường sắt giữa Trung Quốc và Châu Âu.</w:t>
      </w:r>
      <w:proofErr w:type="gramEnd"/>
    </w:p>
    <w:p w:rsidR="007F2D78" w:rsidRDefault="007F2D78" w:rsidP="007F2D78">
      <w:pPr>
        <w:spacing w:line="312" w:lineRule="auto"/>
        <w:ind w:firstLine="720"/>
        <w:jc w:val="both"/>
        <w:rPr>
          <w:rStyle w:val="Emphasis"/>
          <w:rFonts w:ascii="Times New Roman" w:hAnsi="Times New Roman" w:cs="Times New Roman"/>
          <w:i w:val="0"/>
          <w:sz w:val="26"/>
          <w:szCs w:val="26"/>
        </w:rPr>
      </w:pPr>
      <w:proofErr w:type="gramStart"/>
      <w:r w:rsidRPr="007F2D78">
        <w:rPr>
          <w:rStyle w:val="Emphasis"/>
          <w:rFonts w:ascii="Times New Roman" w:hAnsi="Times New Roman" w:cs="Times New Roman"/>
          <w:i w:val="0"/>
          <w:sz w:val="26"/>
          <w:szCs w:val="26"/>
        </w:rPr>
        <w:t>Số lượng tàu chạy giữa Trung Quốc và châu Âu tăng lên hàng năm.</w:t>
      </w:r>
      <w:proofErr w:type="gramEnd"/>
      <w:r w:rsidRPr="007F2D78">
        <w:rPr>
          <w:rStyle w:val="Emphasis"/>
          <w:rFonts w:ascii="Times New Roman" w:hAnsi="Times New Roman" w:cs="Times New Roman"/>
          <w:i w:val="0"/>
          <w:sz w:val="26"/>
          <w:szCs w:val="26"/>
        </w:rPr>
        <w:t xml:space="preserve"> </w:t>
      </w:r>
      <w:proofErr w:type="gramStart"/>
      <w:r w:rsidRPr="007F2D78">
        <w:rPr>
          <w:rStyle w:val="Emphasis"/>
          <w:rFonts w:ascii="Times New Roman" w:hAnsi="Times New Roman" w:cs="Times New Roman"/>
          <w:i w:val="0"/>
          <w:sz w:val="26"/>
          <w:szCs w:val="26"/>
        </w:rPr>
        <w:t xml:space="preserve">Để tránh tắc nghẽn, các công ty </w:t>
      </w:r>
      <w:r w:rsidR="00A301FE">
        <w:rPr>
          <w:rStyle w:val="Emphasis"/>
          <w:rFonts w:ascii="Times New Roman" w:hAnsi="Times New Roman" w:cs="Times New Roman"/>
          <w:i w:val="0"/>
          <w:sz w:val="26"/>
          <w:szCs w:val="26"/>
        </w:rPr>
        <w:t>logistics</w:t>
      </w:r>
      <w:r w:rsidRPr="007F2D78">
        <w:rPr>
          <w:rStyle w:val="Emphasis"/>
          <w:rFonts w:ascii="Times New Roman" w:hAnsi="Times New Roman" w:cs="Times New Roman"/>
          <w:i w:val="0"/>
          <w:sz w:val="26"/>
          <w:szCs w:val="26"/>
        </w:rPr>
        <w:t xml:space="preserve"> đang tìm kiếm các tuyến mới.</w:t>
      </w:r>
      <w:proofErr w:type="gramEnd"/>
      <w:r w:rsidRPr="007F2D78">
        <w:rPr>
          <w:rStyle w:val="Emphasis"/>
          <w:rFonts w:ascii="Times New Roman" w:hAnsi="Times New Roman" w:cs="Times New Roman"/>
          <w:i w:val="0"/>
          <w:sz w:val="26"/>
          <w:szCs w:val="26"/>
        </w:rPr>
        <w:t xml:space="preserve"> Giải pháp khác để tăng công suất của Con đường tơ lụa mới là chuyển đổi nó thành hành </w:t>
      </w:r>
      <w:proofErr w:type="gramStart"/>
      <w:r w:rsidRPr="007F2D78">
        <w:rPr>
          <w:rStyle w:val="Emphasis"/>
          <w:rFonts w:ascii="Times New Roman" w:hAnsi="Times New Roman" w:cs="Times New Roman"/>
          <w:i w:val="0"/>
          <w:sz w:val="26"/>
          <w:szCs w:val="26"/>
        </w:rPr>
        <w:t>lang</w:t>
      </w:r>
      <w:proofErr w:type="gramEnd"/>
      <w:r w:rsidRPr="007F2D78">
        <w:rPr>
          <w:rStyle w:val="Emphasis"/>
          <w:rFonts w:ascii="Times New Roman" w:hAnsi="Times New Roman" w:cs="Times New Roman"/>
          <w:i w:val="0"/>
          <w:sz w:val="26"/>
          <w:szCs w:val="26"/>
        </w:rPr>
        <w:t xml:space="preserve"> đường sắ</w:t>
      </w:r>
      <w:r w:rsidR="0009306F">
        <w:rPr>
          <w:rStyle w:val="Emphasis"/>
          <w:rFonts w:ascii="Times New Roman" w:hAnsi="Times New Roman" w:cs="Times New Roman"/>
          <w:i w:val="0"/>
          <w:sz w:val="26"/>
          <w:szCs w:val="26"/>
        </w:rPr>
        <w:t>t chồng được 2 tầng container -</w:t>
      </w:r>
      <w:r w:rsidR="0009306F">
        <w:rPr>
          <w:rStyle w:val="Emphasis"/>
          <w:rFonts w:ascii="Times New Roman" w:hAnsi="Times New Roman" w:cs="Times New Roman"/>
          <w:i w:val="0"/>
          <w:sz w:val="26"/>
          <w:szCs w:val="26"/>
        </w:rPr>
        <w:t>“double-stack</w:t>
      </w:r>
      <w:r w:rsidR="0009306F">
        <w:rPr>
          <w:rStyle w:val="Emphasis"/>
          <w:rFonts w:ascii="Times New Roman" w:hAnsi="Times New Roman" w:cs="Times New Roman"/>
          <w:i w:val="0"/>
          <w:sz w:val="26"/>
          <w:szCs w:val="26"/>
        </w:rPr>
        <w:t xml:space="preserve"> train</w:t>
      </w:r>
      <w:r w:rsidR="0009306F">
        <w:rPr>
          <w:rStyle w:val="Emphasis"/>
          <w:rFonts w:ascii="Times New Roman" w:hAnsi="Times New Roman" w:cs="Times New Roman"/>
          <w:i w:val="0"/>
          <w:sz w:val="26"/>
          <w:szCs w:val="26"/>
        </w:rPr>
        <w:t>”</w:t>
      </w:r>
      <w:r w:rsidR="0009306F">
        <w:rPr>
          <w:rStyle w:val="Emphasis"/>
          <w:rFonts w:ascii="Times New Roman" w:hAnsi="Times New Roman" w:cs="Times New Roman"/>
          <w:i w:val="0"/>
          <w:sz w:val="26"/>
          <w:szCs w:val="26"/>
        </w:rPr>
        <w:t xml:space="preserve"> (Như hình dưới)</w:t>
      </w:r>
      <w:r w:rsidRPr="007F2D78">
        <w:rPr>
          <w:rStyle w:val="Emphasis"/>
          <w:rFonts w:ascii="Times New Roman" w:hAnsi="Times New Roman" w:cs="Times New Roman"/>
          <w:i w:val="0"/>
          <w:sz w:val="26"/>
          <w:szCs w:val="26"/>
        </w:rPr>
        <w:t xml:space="preserve">. </w:t>
      </w:r>
      <w:proofErr w:type="gramStart"/>
      <w:r w:rsidRPr="007F2D78">
        <w:rPr>
          <w:rStyle w:val="Emphasis"/>
          <w:rFonts w:ascii="Times New Roman" w:hAnsi="Times New Roman" w:cs="Times New Roman"/>
          <w:i w:val="0"/>
          <w:sz w:val="26"/>
          <w:szCs w:val="26"/>
        </w:rPr>
        <w:t>Đại học Khoa học Ứng dụng Zurich và công ty tư vấn hàng đầu Roland Berger đã nghiên cứu khả năng nà</w:t>
      </w:r>
      <w:r>
        <w:rPr>
          <w:rStyle w:val="Emphasis"/>
          <w:rFonts w:ascii="Times New Roman" w:hAnsi="Times New Roman" w:cs="Times New Roman"/>
          <w:i w:val="0"/>
          <w:sz w:val="26"/>
          <w:szCs w:val="26"/>
        </w:rPr>
        <w:t>y.</w:t>
      </w:r>
      <w:proofErr w:type="gramEnd"/>
    </w:p>
    <w:p w:rsidR="00F24132" w:rsidRDefault="00F24132" w:rsidP="00F24132">
      <w:pPr>
        <w:spacing w:line="312" w:lineRule="auto"/>
        <w:ind w:firstLine="720"/>
        <w:jc w:val="both"/>
        <w:rPr>
          <w:rStyle w:val="Emphasis"/>
          <w:rFonts w:ascii="Times New Roman" w:hAnsi="Times New Roman" w:cs="Times New Roman"/>
          <w:i w:val="0"/>
          <w:sz w:val="26"/>
          <w:szCs w:val="26"/>
        </w:rPr>
      </w:pPr>
      <w:r w:rsidRPr="007F2D78">
        <w:rPr>
          <w:rStyle w:val="Emphasis"/>
          <w:rFonts w:ascii="Times New Roman" w:hAnsi="Times New Roman" w:cs="Times New Roman"/>
          <w:i w:val="0"/>
          <w:sz w:val="26"/>
          <w:szCs w:val="26"/>
        </w:rPr>
        <w:t xml:space="preserve">Nghiên cứu </w:t>
      </w:r>
      <w:r>
        <w:rPr>
          <w:rStyle w:val="Emphasis"/>
          <w:rFonts w:ascii="Times New Roman" w:hAnsi="Times New Roman" w:cs="Times New Roman"/>
          <w:i w:val="0"/>
          <w:sz w:val="26"/>
          <w:szCs w:val="26"/>
        </w:rPr>
        <w:t xml:space="preserve">dựa trên một thực tiễn là </w:t>
      </w:r>
      <w:r w:rsidRPr="007F2D78">
        <w:rPr>
          <w:rStyle w:val="Emphasis"/>
          <w:rFonts w:ascii="Times New Roman" w:hAnsi="Times New Roman" w:cs="Times New Roman"/>
          <w:i w:val="0"/>
          <w:sz w:val="26"/>
          <w:szCs w:val="26"/>
        </w:rPr>
        <w:t>sự kết hợp giữa giao thông đường sắ</w:t>
      </w:r>
      <w:r>
        <w:rPr>
          <w:rStyle w:val="Emphasis"/>
          <w:rFonts w:ascii="Times New Roman" w:hAnsi="Times New Roman" w:cs="Times New Roman"/>
          <w:i w:val="0"/>
          <w:sz w:val="26"/>
          <w:szCs w:val="26"/>
        </w:rPr>
        <w:t>t “double-stack” với các phương thức vận tải khác</w:t>
      </w:r>
      <w:r w:rsidRPr="007F2D78">
        <w:rPr>
          <w:rStyle w:val="Emphasis"/>
          <w:rFonts w:ascii="Times New Roman" w:hAnsi="Times New Roman" w:cs="Times New Roman"/>
          <w:i w:val="0"/>
          <w:sz w:val="26"/>
          <w:szCs w:val="26"/>
        </w:rPr>
        <w:t xml:space="preserve"> ở Bắc Mỹ, đặc biệt là ở Mỹ. </w:t>
      </w:r>
      <w:r>
        <w:rPr>
          <w:rStyle w:val="Emphasis"/>
          <w:rFonts w:ascii="Times New Roman" w:hAnsi="Times New Roman" w:cs="Times New Roman"/>
          <w:i w:val="0"/>
          <w:sz w:val="26"/>
          <w:szCs w:val="26"/>
        </w:rPr>
        <w:t>Nghiên cứu</w:t>
      </w:r>
      <w:r w:rsidRPr="007F2D78">
        <w:rPr>
          <w:rStyle w:val="Emphasis"/>
          <w:rFonts w:ascii="Times New Roman" w:hAnsi="Times New Roman" w:cs="Times New Roman"/>
          <w:i w:val="0"/>
          <w:sz w:val="26"/>
          <w:szCs w:val="26"/>
        </w:rPr>
        <w:t xml:space="preserve"> các tuyến đường sắt Bắc Mỹ cho thấy cách giao thông vận tải đường sắt có thể hoạt động </w:t>
      </w:r>
      <w:r>
        <w:rPr>
          <w:rStyle w:val="Emphasis"/>
          <w:rFonts w:ascii="Times New Roman" w:hAnsi="Times New Roman" w:cs="Times New Roman"/>
          <w:i w:val="0"/>
          <w:sz w:val="26"/>
          <w:szCs w:val="26"/>
        </w:rPr>
        <w:t>mà không phải bù lỗ, ngay cả khi chạy chặng dài, qua những vùng hầu như không có hoạt động kinh tế</w:t>
      </w:r>
      <w:r w:rsidRPr="007F2D78">
        <w:rPr>
          <w:rStyle w:val="Emphasis"/>
          <w:rFonts w:ascii="Times New Roman" w:hAnsi="Times New Roman" w:cs="Times New Roman"/>
          <w:i w:val="0"/>
          <w:sz w:val="26"/>
          <w:szCs w:val="26"/>
        </w:rPr>
        <w:t xml:space="preserve">. </w:t>
      </w:r>
      <w:proofErr w:type="gramStart"/>
      <w:r w:rsidRPr="007F2D78">
        <w:rPr>
          <w:rStyle w:val="Emphasis"/>
          <w:rFonts w:ascii="Times New Roman" w:hAnsi="Times New Roman" w:cs="Times New Roman"/>
          <w:i w:val="0"/>
          <w:sz w:val="26"/>
          <w:szCs w:val="26"/>
        </w:rPr>
        <w:t>Bảy Đường sắt chính loại I của Hoa Kỳ tạo ra tỷ suất lợi nhuận trung bình hơn 35% (dữ liệ</w:t>
      </w:r>
      <w:r>
        <w:rPr>
          <w:rStyle w:val="Emphasis"/>
          <w:rFonts w:ascii="Times New Roman" w:hAnsi="Times New Roman" w:cs="Times New Roman"/>
          <w:i w:val="0"/>
          <w:sz w:val="26"/>
          <w:szCs w:val="26"/>
        </w:rPr>
        <w:t>u năm 2017).</w:t>
      </w:r>
      <w:proofErr w:type="gramEnd"/>
      <w:r w:rsidRPr="007F2D7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N</w:t>
      </w:r>
      <w:r w:rsidRPr="007F2D78">
        <w:rPr>
          <w:rStyle w:val="Emphasis"/>
          <w:rFonts w:ascii="Times New Roman" w:hAnsi="Times New Roman" w:cs="Times New Roman"/>
          <w:i w:val="0"/>
          <w:sz w:val="26"/>
          <w:szCs w:val="26"/>
        </w:rPr>
        <w:t xml:space="preserve">ghiên cứu xem xét khả năng tạo ra một hành </w:t>
      </w:r>
      <w:proofErr w:type="gramStart"/>
      <w:r w:rsidRPr="007F2D78">
        <w:rPr>
          <w:rStyle w:val="Emphasis"/>
          <w:rFonts w:ascii="Times New Roman" w:hAnsi="Times New Roman" w:cs="Times New Roman"/>
          <w:i w:val="0"/>
          <w:sz w:val="26"/>
          <w:szCs w:val="26"/>
        </w:rPr>
        <w:t>lang</w:t>
      </w:r>
      <w:proofErr w:type="gramEnd"/>
      <w:r w:rsidRPr="007F2D78">
        <w:rPr>
          <w:rStyle w:val="Emphasis"/>
          <w:rFonts w:ascii="Times New Roman" w:hAnsi="Times New Roman" w:cs="Times New Roman"/>
          <w:i w:val="0"/>
          <w:sz w:val="26"/>
          <w:szCs w:val="26"/>
        </w:rPr>
        <w:t xml:space="preserve"> vận chuyển hàng hóa đường sắt hai tầng trên </w:t>
      </w:r>
      <w:r w:rsidRPr="007F2D78">
        <w:rPr>
          <w:rStyle w:val="Emphasis"/>
          <w:rFonts w:ascii="Times New Roman" w:hAnsi="Times New Roman" w:cs="Times New Roman"/>
          <w:i w:val="0"/>
          <w:sz w:val="26"/>
          <w:szCs w:val="26"/>
        </w:rPr>
        <w:lastRenderedPageBreak/>
        <w:t xml:space="preserve">Con đường Tơ lụa Mới - trên đoạn đường dài 1520 mm xuyên qua Kazakhstan, Nga và Belarus. Đây là phần lớn nhất của hành </w:t>
      </w:r>
      <w:proofErr w:type="gramStart"/>
      <w:r w:rsidRPr="007F2D78">
        <w:rPr>
          <w:rStyle w:val="Emphasis"/>
          <w:rFonts w:ascii="Times New Roman" w:hAnsi="Times New Roman" w:cs="Times New Roman"/>
          <w:i w:val="0"/>
          <w:sz w:val="26"/>
          <w:szCs w:val="26"/>
        </w:rPr>
        <w:t>lang</w:t>
      </w:r>
      <w:proofErr w:type="gramEnd"/>
      <w:r w:rsidRPr="007F2D78">
        <w:rPr>
          <w:rStyle w:val="Emphasis"/>
          <w:rFonts w:ascii="Times New Roman" w:hAnsi="Times New Roman" w:cs="Times New Roman"/>
          <w:i w:val="0"/>
          <w:sz w:val="26"/>
          <w:szCs w:val="26"/>
        </w:rPr>
        <w:t xml:space="preserve"> Á-Âu và hầu hết các chuyến tàu sử dụng chính xác cùng một tuyến đườ</w:t>
      </w:r>
      <w:r>
        <w:rPr>
          <w:rStyle w:val="Emphasis"/>
          <w:rFonts w:ascii="Times New Roman" w:hAnsi="Times New Roman" w:cs="Times New Roman"/>
          <w:i w:val="0"/>
          <w:sz w:val="26"/>
          <w:szCs w:val="26"/>
        </w:rPr>
        <w:t>ng</w:t>
      </w:r>
      <w:r>
        <w:rPr>
          <w:rStyle w:val="Emphasis"/>
          <w:rFonts w:ascii="Times New Roman" w:hAnsi="Times New Roman" w:cs="Times New Roman"/>
          <w:i w:val="0"/>
          <w:sz w:val="26"/>
          <w:szCs w:val="26"/>
        </w:rPr>
        <w:t>.</w:t>
      </w:r>
    </w:p>
    <w:p w:rsidR="0009306F" w:rsidRDefault="0009306F" w:rsidP="0009306F">
      <w:pPr>
        <w:pStyle w:val="ListParagraph"/>
        <w:spacing w:line="240" w:lineRule="auto"/>
        <w:ind w:left="0"/>
        <w:jc w:val="center"/>
        <w:rPr>
          <w:rFonts w:ascii="Times New Roman" w:hAnsi="Times New Roman" w:cs="Times New Roman"/>
          <w:b/>
          <w:sz w:val="26"/>
          <w:szCs w:val="26"/>
        </w:rPr>
      </w:pPr>
      <w:bookmarkStart w:id="12" w:name="_Toc10017963"/>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5</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09306F">
        <w:rPr>
          <w:rFonts w:ascii="Times New Roman" w:hAnsi="Times New Roman" w:cs="Times New Roman"/>
          <w:b/>
          <w:sz w:val="26"/>
          <w:szCs w:val="26"/>
        </w:rPr>
        <w:t>CSX double-stack train</w:t>
      </w:r>
      <w:r w:rsidRPr="0009306F">
        <w:rPr>
          <w:rFonts w:ascii="Times New Roman" w:hAnsi="Times New Roman" w:cs="Times New Roman"/>
          <w:b/>
          <w:sz w:val="26"/>
          <w:szCs w:val="26"/>
        </w:rPr>
        <w:t xml:space="preserve"> tại cả</w:t>
      </w:r>
      <w:r>
        <w:rPr>
          <w:rFonts w:ascii="Times New Roman" w:hAnsi="Times New Roman" w:cs="Times New Roman"/>
          <w:b/>
          <w:sz w:val="26"/>
          <w:szCs w:val="26"/>
        </w:rPr>
        <w:t xml:space="preserve">ng Virginia </w:t>
      </w:r>
      <w:r w:rsidRPr="0009306F">
        <w:rPr>
          <w:rFonts w:ascii="Times New Roman" w:hAnsi="Times New Roman" w:cs="Times New Roman"/>
          <w:b/>
          <w:sz w:val="26"/>
          <w:szCs w:val="26"/>
        </w:rPr>
        <w:t>(Mỹ)</w:t>
      </w:r>
      <w:bookmarkEnd w:id="12"/>
    </w:p>
    <w:p w:rsidR="0009306F" w:rsidRDefault="0009306F" w:rsidP="0009306F">
      <w:pPr>
        <w:pStyle w:val="ListParagraph"/>
        <w:spacing w:line="240" w:lineRule="auto"/>
        <w:ind w:left="0"/>
        <w:jc w:val="center"/>
        <w:rPr>
          <w:rStyle w:val="Emphasis"/>
          <w:rFonts w:ascii="Times New Roman" w:hAnsi="Times New Roman" w:cs="Times New Roman"/>
          <w:i w:val="0"/>
          <w:sz w:val="26"/>
          <w:szCs w:val="26"/>
        </w:rPr>
      </w:pPr>
      <w:r>
        <w:rPr>
          <w:noProof/>
        </w:rPr>
        <w:drawing>
          <wp:inline distT="0" distB="0" distL="0" distR="0" wp14:anchorId="7784A936" wp14:editId="375C6C7C">
            <wp:extent cx="5486400" cy="3063240"/>
            <wp:effectExtent l="0" t="0" r="0" b="0"/>
            <wp:docPr id="11" name="Picture 11" descr="Image result for double-stack 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ouble-stack rai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063240"/>
                    </a:xfrm>
                    <a:prstGeom prst="rect">
                      <a:avLst/>
                    </a:prstGeom>
                    <a:noFill/>
                    <a:ln>
                      <a:noFill/>
                    </a:ln>
                  </pic:spPr>
                </pic:pic>
              </a:graphicData>
            </a:graphic>
          </wp:inline>
        </w:drawing>
      </w:r>
    </w:p>
    <w:p w:rsidR="003C4E0C" w:rsidRPr="003C4E0C" w:rsidRDefault="003C4E0C" w:rsidP="003C4E0C">
      <w:pPr>
        <w:spacing w:line="312" w:lineRule="auto"/>
        <w:ind w:firstLine="720"/>
        <w:jc w:val="both"/>
        <w:rPr>
          <w:rStyle w:val="Emphasis"/>
          <w:rFonts w:ascii="Times New Roman" w:hAnsi="Times New Roman" w:cs="Times New Roman"/>
          <w:i w:val="0"/>
          <w:sz w:val="26"/>
          <w:szCs w:val="26"/>
        </w:rPr>
      </w:pPr>
      <w:r w:rsidRPr="003C4E0C">
        <w:rPr>
          <w:rStyle w:val="Emphasis"/>
          <w:rFonts w:ascii="Times New Roman" w:hAnsi="Times New Roman" w:cs="Times New Roman"/>
          <w:i w:val="0"/>
          <w:sz w:val="26"/>
          <w:szCs w:val="26"/>
        </w:rPr>
        <w:t xml:space="preserve">Ấn Độ vận hành một mạng lưới gồm tám hành </w:t>
      </w:r>
      <w:proofErr w:type="gramStart"/>
      <w:r w:rsidRPr="003C4E0C">
        <w:rPr>
          <w:rStyle w:val="Emphasis"/>
          <w:rFonts w:ascii="Times New Roman" w:hAnsi="Times New Roman" w:cs="Times New Roman"/>
          <w:i w:val="0"/>
          <w:sz w:val="26"/>
          <w:szCs w:val="26"/>
        </w:rPr>
        <w:t>lang</w:t>
      </w:r>
      <w:proofErr w:type="gramEnd"/>
      <w:r w:rsidRPr="003C4E0C">
        <w:rPr>
          <w:rStyle w:val="Emphasis"/>
          <w:rFonts w:ascii="Times New Roman" w:hAnsi="Times New Roman" w:cs="Times New Roman"/>
          <w:i w:val="0"/>
          <w:sz w:val="26"/>
          <w:szCs w:val="26"/>
        </w:rPr>
        <w:t xml:space="preserve"> đường sắt chuyên dụng vận chuyển hàng hóa</w:t>
      </w:r>
      <w:r w:rsidR="00375B5D">
        <w:rPr>
          <w:rStyle w:val="Emphasis"/>
          <w:rFonts w:ascii="Times New Roman" w:hAnsi="Times New Roman" w:cs="Times New Roman"/>
          <w:i w:val="0"/>
          <w:sz w:val="26"/>
          <w:szCs w:val="26"/>
        </w:rPr>
        <w:t xml:space="preserve"> </w:t>
      </w:r>
      <w:r w:rsidR="00F24132">
        <w:rPr>
          <w:rStyle w:val="Emphasis"/>
          <w:rFonts w:ascii="Times New Roman" w:hAnsi="Times New Roman" w:cs="Times New Roman"/>
          <w:i w:val="0"/>
          <w:sz w:val="26"/>
          <w:szCs w:val="26"/>
        </w:rPr>
        <w:t xml:space="preserve">“double stack strain” </w:t>
      </w:r>
      <w:r w:rsidR="00375B5D">
        <w:rPr>
          <w:rStyle w:val="Emphasis"/>
          <w:rFonts w:ascii="Times New Roman" w:hAnsi="Times New Roman" w:cs="Times New Roman"/>
          <w:i w:val="0"/>
          <w:sz w:val="26"/>
          <w:szCs w:val="26"/>
        </w:rPr>
        <w:t>với t</w:t>
      </w:r>
      <w:r w:rsidRPr="003C4E0C">
        <w:rPr>
          <w:rStyle w:val="Emphasis"/>
          <w:rFonts w:ascii="Times New Roman" w:hAnsi="Times New Roman" w:cs="Times New Roman"/>
          <w:i w:val="0"/>
          <w:sz w:val="26"/>
          <w:szCs w:val="26"/>
        </w:rPr>
        <w:t>ổng chiều dài khoả</w:t>
      </w:r>
      <w:r>
        <w:rPr>
          <w:rStyle w:val="Emphasis"/>
          <w:rFonts w:ascii="Times New Roman" w:hAnsi="Times New Roman" w:cs="Times New Roman"/>
          <w:i w:val="0"/>
          <w:sz w:val="26"/>
          <w:szCs w:val="26"/>
        </w:rPr>
        <w:t>ng 10 nghìn km.</w:t>
      </w:r>
    </w:p>
    <w:p w:rsidR="003C4E0C" w:rsidRDefault="003C4E0C" w:rsidP="003C4E0C">
      <w:pPr>
        <w:spacing w:line="312" w:lineRule="auto"/>
        <w:ind w:firstLine="720"/>
        <w:jc w:val="both"/>
        <w:rPr>
          <w:rStyle w:val="Emphasis"/>
          <w:rFonts w:ascii="Times New Roman" w:hAnsi="Times New Roman" w:cs="Times New Roman"/>
          <w:i w:val="0"/>
          <w:sz w:val="26"/>
          <w:szCs w:val="26"/>
        </w:rPr>
      </w:pPr>
      <w:r w:rsidRPr="003C4E0C">
        <w:rPr>
          <w:rStyle w:val="Emphasis"/>
          <w:rFonts w:ascii="Times New Roman" w:hAnsi="Times New Roman" w:cs="Times New Roman"/>
          <w:i w:val="0"/>
          <w:sz w:val="26"/>
          <w:szCs w:val="26"/>
        </w:rPr>
        <w:t>Tuy nhiên, hành lang đường sắ</w:t>
      </w:r>
      <w:r w:rsidR="0009306F">
        <w:rPr>
          <w:rStyle w:val="Emphasis"/>
          <w:rFonts w:ascii="Times New Roman" w:hAnsi="Times New Roman" w:cs="Times New Roman"/>
          <w:i w:val="0"/>
          <w:sz w:val="26"/>
          <w:szCs w:val="26"/>
        </w:rPr>
        <w:t xml:space="preserve">t </w:t>
      </w:r>
      <w:r w:rsidR="00F24132">
        <w:rPr>
          <w:rStyle w:val="Emphasis"/>
          <w:rFonts w:ascii="Times New Roman" w:hAnsi="Times New Roman" w:cs="Times New Roman"/>
          <w:i w:val="0"/>
          <w:sz w:val="26"/>
          <w:szCs w:val="26"/>
        </w:rPr>
        <w:t>“double stack”</w:t>
      </w:r>
      <w:r w:rsidRPr="003C4E0C">
        <w:rPr>
          <w:rStyle w:val="Emphasis"/>
          <w:rFonts w:ascii="Times New Roman" w:hAnsi="Times New Roman" w:cs="Times New Roman"/>
          <w:i w:val="0"/>
          <w:sz w:val="26"/>
          <w:szCs w:val="26"/>
        </w:rPr>
        <w:t xml:space="preserve">, ngay cả khi là phiên bản dành riêng cho vận tải hàng hóa, không thể không có sự đầu tư cơ sở hạ tầng để tránh những thách thức và trở ngại chính. Đó là các thông số kỹ thuật </w:t>
      </w:r>
      <w:r w:rsidR="0009306F">
        <w:rPr>
          <w:rStyle w:val="Emphasis"/>
          <w:rFonts w:ascii="Times New Roman" w:hAnsi="Times New Roman" w:cs="Times New Roman"/>
          <w:i w:val="0"/>
          <w:sz w:val="26"/>
          <w:szCs w:val="26"/>
        </w:rPr>
        <w:t xml:space="preserve">cần được </w:t>
      </w:r>
      <w:proofErr w:type="gramStart"/>
      <w:r w:rsidRPr="003C4E0C">
        <w:rPr>
          <w:rStyle w:val="Emphasis"/>
          <w:rFonts w:ascii="Times New Roman" w:hAnsi="Times New Roman" w:cs="Times New Roman"/>
          <w:i w:val="0"/>
          <w:sz w:val="26"/>
          <w:szCs w:val="26"/>
        </w:rPr>
        <w:t>theo</w:t>
      </w:r>
      <w:proofErr w:type="gramEnd"/>
      <w:r w:rsidRPr="003C4E0C">
        <w:rPr>
          <w:rStyle w:val="Emphasis"/>
          <w:rFonts w:ascii="Times New Roman" w:hAnsi="Times New Roman" w:cs="Times New Roman"/>
          <w:i w:val="0"/>
          <w:sz w:val="26"/>
          <w:szCs w:val="26"/>
        </w:rPr>
        <w:t xml:space="preserve"> dõi (tải trọng trục, v.v.), hầm đường sắt, cầu và cầu vượt cấp. </w:t>
      </w:r>
      <w:r w:rsidR="0009306F">
        <w:rPr>
          <w:rStyle w:val="Emphasis"/>
          <w:rFonts w:ascii="Times New Roman" w:hAnsi="Times New Roman" w:cs="Times New Roman"/>
          <w:i w:val="0"/>
          <w:sz w:val="26"/>
          <w:szCs w:val="26"/>
        </w:rPr>
        <w:t>Khó khăn nhất là</w:t>
      </w:r>
      <w:r w:rsidRPr="003C4E0C">
        <w:rPr>
          <w:rStyle w:val="Emphasis"/>
          <w:rFonts w:ascii="Times New Roman" w:hAnsi="Times New Roman" w:cs="Times New Roman"/>
          <w:i w:val="0"/>
          <w:sz w:val="26"/>
          <w:szCs w:val="26"/>
        </w:rPr>
        <w:t xml:space="preserve"> hành </w:t>
      </w:r>
      <w:proofErr w:type="gramStart"/>
      <w:r w:rsidRPr="003C4E0C">
        <w:rPr>
          <w:rStyle w:val="Emphasis"/>
          <w:rFonts w:ascii="Times New Roman" w:hAnsi="Times New Roman" w:cs="Times New Roman"/>
          <w:i w:val="0"/>
          <w:sz w:val="26"/>
          <w:szCs w:val="26"/>
        </w:rPr>
        <w:t>lang</w:t>
      </w:r>
      <w:proofErr w:type="gramEnd"/>
      <w:r w:rsidRPr="003C4E0C">
        <w:rPr>
          <w:rStyle w:val="Emphasis"/>
          <w:rFonts w:ascii="Times New Roman" w:hAnsi="Times New Roman" w:cs="Times New Roman"/>
          <w:i w:val="0"/>
          <w:sz w:val="26"/>
          <w:szCs w:val="26"/>
        </w:rPr>
        <w:t xml:space="preserve"> xếp chồng đôi chuyên dụng vận chuyển hàng hóa không được điện khí hóa do các vấn đề giải phóng mặt bằng với các đường dây trên không. </w:t>
      </w:r>
    </w:p>
    <w:p w:rsidR="003C4E0C" w:rsidRPr="003C4E0C" w:rsidRDefault="003C4E0C" w:rsidP="00607892">
      <w:pPr>
        <w:spacing w:line="312" w:lineRule="auto"/>
        <w:ind w:firstLine="720"/>
        <w:jc w:val="both"/>
        <w:rPr>
          <w:rStyle w:val="Emphasis"/>
          <w:rFonts w:ascii="Times New Roman" w:hAnsi="Times New Roman" w:cs="Times New Roman"/>
          <w:sz w:val="26"/>
          <w:szCs w:val="26"/>
        </w:rPr>
      </w:pPr>
      <w:r w:rsidRPr="003C4E0C">
        <w:rPr>
          <w:rStyle w:val="Emphasis"/>
          <w:rFonts w:ascii="Times New Roman" w:hAnsi="Times New Roman" w:cs="Times New Roman"/>
          <w:sz w:val="26"/>
          <w:szCs w:val="26"/>
        </w:rPr>
        <w:t>Vận chuyển đường sắt cao tốc Trung Quốc- Nam Á</w:t>
      </w:r>
    </w:p>
    <w:p w:rsidR="00607892" w:rsidRDefault="00607892" w:rsidP="0060789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w:t>
      </w:r>
      <w:r w:rsidRPr="00607892">
        <w:rPr>
          <w:rStyle w:val="Emphasis"/>
          <w:rFonts w:ascii="Times New Roman" w:hAnsi="Times New Roman" w:cs="Times New Roman"/>
          <w:i w:val="0"/>
          <w:sz w:val="26"/>
          <w:szCs w:val="26"/>
        </w:rPr>
        <w:t xml:space="preserve"> ủy ban quản lý </w:t>
      </w:r>
      <w:r>
        <w:rPr>
          <w:rStyle w:val="Emphasis"/>
          <w:rFonts w:ascii="Times New Roman" w:hAnsi="Times New Roman" w:cs="Times New Roman"/>
          <w:i w:val="0"/>
          <w:sz w:val="26"/>
          <w:szCs w:val="26"/>
        </w:rPr>
        <w:t>đường sắt cao tốc</w:t>
      </w:r>
      <w:r w:rsidRPr="00607892">
        <w:rPr>
          <w:rStyle w:val="Emphasis"/>
          <w:rFonts w:ascii="Times New Roman" w:hAnsi="Times New Roman" w:cs="Times New Roman"/>
          <w:i w:val="0"/>
          <w:sz w:val="26"/>
          <w:szCs w:val="26"/>
        </w:rPr>
        <w:t xml:space="preserve"> Cam Túc (Lan Châu</w:t>
      </w:r>
      <w:r>
        <w:rPr>
          <w:rStyle w:val="Emphasis"/>
          <w:rFonts w:ascii="Times New Roman" w:hAnsi="Times New Roman" w:cs="Times New Roman"/>
          <w:i w:val="0"/>
          <w:sz w:val="26"/>
          <w:szCs w:val="26"/>
        </w:rPr>
        <w:t>, Trung Quốc</w:t>
      </w:r>
      <w:r w:rsidRPr="00607892">
        <w:rPr>
          <w:rStyle w:val="Emphasis"/>
          <w:rFonts w:ascii="Times New Roman" w:hAnsi="Times New Roman" w:cs="Times New Roman"/>
          <w:i w:val="0"/>
          <w:sz w:val="26"/>
          <w:szCs w:val="26"/>
        </w:rPr>
        <w:t xml:space="preserve">), dịch vụ đường sắt là một phần của liên kết </w:t>
      </w:r>
      <w:r w:rsidR="00A301FE">
        <w:rPr>
          <w:rStyle w:val="Emphasis"/>
          <w:rFonts w:ascii="Times New Roman" w:hAnsi="Times New Roman" w:cs="Times New Roman"/>
          <w:i w:val="0"/>
          <w:sz w:val="26"/>
          <w:szCs w:val="26"/>
        </w:rPr>
        <w:t>logistics</w:t>
      </w:r>
      <w:r w:rsidRPr="00607892">
        <w:rPr>
          <w:rStyle w:val="Emphasis"/>
          <w:rFonts w:ascii="Times New Roman" w:hAnsi="Times New Roman" w:cs="Times New Roman"/>
          <w:i w:val="0"/>
          <w:sz w:val="26"/>
          <w:szCs w:val="26"/>
        </w:rPr>
        <w:t xml:space="preserve"> mở rộng giữa miền tây Trung Quố</w:t>
      </w:r>
      <w:r>
        <w:rPr>
          <w:rStyle w:val="Emphasis"/>
          <w:rFonts w:ascii="Times New Roman" w:hAnsi="Times New Roman" w:cs="Times New Roman"/>
          <w:i w:val="0"/>
          <w:sz w:val="26"/>
          <w:szCs w:val="26"/>
        </w:rPr>
        <w:t xml:space="preserve">c và Nam Á. </w:t>
      </w:r>
      <w:r w:rsidRPr="00607892">
        <w:rPr>
          <w:rStyle w:val="Emphasis"/>
          <w:rFonts w:ascii="Times New Roman" w:hAnsi="Times New Roman" w:cs="Times New Roman"/>
          <w:i w:val="0"/>
          <w:sz w:val="26"/>
          <w:szCs w:val="26"/>
        </w:rPr>
        <w:t>Pakistan và các nước Nam Á khác là một thị trường khổng lồ và họ có nhu cầu lớn đối với hàng hóa được sản xuất ở phía tây Trung Quố</w:t>
      </w:r>
      <w:r>
        <w:rPr>
          <w:rStyle w:val="Emphasis"/>
          <w:rFonts w:ascii="Times New Roman" w:hAnsi="Times New Roman" w:cs="Times New Roman"/>
          <w:i w:val="0"/>
          <w:sz w:val="26"/>
          <w:szCs w:val="26"/>
        </w:rPr>
        <w:t xml:space="preserve">c. Nếu như </w:t>
      </w:r>
      <w:r>
        <w:rPr>
          <w:rStyle w:val="Emphasis"/>
          <w:rFonts w:ascii="Times New Roman" w:hAnsi="Times New Roman" w:cs="Times New Roman"/>
          <w:i w:val="0"/>
          <w:sz w:val="26"/>
          <w:szCs w:val="26"/>
        </w:rPr>
        <w:lastRenderedPageBreak/>
        <w:t xml:space="preserve">vận chuyển hàng bằng đường biển </w:t>
      </w:r>
      <w:r w:rsidRPr="00607892">
        <w:rPr>
          <w:rStyle w:val="Emphasis"/>
          <w:rFonts w:ascii="Times New Roman" w:hAnsi="Times New Roman" w:cs="Times New Roman"/>
          <w:i w:val="0"/>
          <w:sz w:val="26"/>
          <w:szCs w:val="26"/>
        </w:rPr>
        <w:t xml:space="preserve">từ các khu vực phía tây Trung Quốc đến Nam Á </w:t>
      </w:r>
      <w:r>
        <w:rPr>
          <w:rStyle w:val="Emphasis"/>
          <w:rFonts w:ascii="Times New Roman" w:hAnsi="Times New Roman" w:cs="Times New Roman"/>
          <w:i w:val="0"/>
          <w:sz w:val="26"/>
          <w:szCs w:val="26"/>
        </w:rPr>
        <w:t>p</w:t>
      </w:r>
      <w:r w:rsidRPr="00607892">
        <w:rPr>
          <w:rStyle w:val="Emphasis"/>
          <w:rFonts w:ascii="Times New Roman" w:hAnsi="Times New Roman" w:cs="Times New Roman"/>
          <w:i w:val="0"/>
          <w:sz w:val="26"/>
          <w:szCs w:val="26"/>
        </w:rPr>
        <w:t xml:space="preserve">hải mất 40 ngày </w:t>
      </w:r>
      <w:r>
        <w:rPr>
          <w:rStyle w:val="Emphasis"/>
          <w:rFonts w:ascii="Times New Roman" w:hAnsi="Times New Roman" w:cs="Times New Roman"/>
          <w:i w:val="0"/>
          <w:sz w:val="26"/>
          <w:szCs w:val="26"/>
        </w:rPr>
        <w:t>thì vận chuyể</w:t>
      </w:r>
      <w:r w:rsidR="003A2FBB">
        <w:rPr>
          <w:rStyle w:val="Emphasis"/>
          <w:rFonts w:ascii="Times New Roman" w:hAnsi="Times New Roman" w:cs="Times New Roman"/>
          <w:i w:val="0"/>
          <w:sz w:val="26"/>
          <w:szCs w:val="26"/>
        </w:rPr>
        <w:t>n trên đất liền</w:t>
      </w:r>
      <w:r>
        <w:rPr>
          <w:rStyle w:val="Emphasis"/>
          <w:rFonts w:ascii="Times New Roman" w:hAnsi="Times New Roman" w:cs="Times New Roman"/>
          <w:i w:val="0"/>
          <w:sz w:val="26"/>
          <w:szCs w:val="26"/>
        </w:rPr>
        <w:t xml:space="preserve"> chỉ </w:t>
      </w:r>
      <w:r w:rsidRPr="00607892">
        <w:rPr>
          <w:rStyle w:val="Emphasis"/>
          <w:rFonts w:ascii="Times New Roman" w:hAnsi="Times New Roman" w:cs="Times New Roman"/>
          <w:i w:val="0"/>
          <w:sz w:val="26"/>
          <w:szCs w:val="26"/>
        </w:rPr>
        <w:t>mất 10 ngày với chi phí tương tự</w:t>
      </w:r>
      <w:r>
        <w:rPr>
          <w:rStyle w:val="Emphasis"/>
          <w:rFonts w:ascii="Times New Roman" w:hAnsi="Times New Roman" w:cs="Times New Roman"/>
          <w:i w:val="0"/>
          <w:sz w:val="26"/>
          <w:szCs w:val="26"/>
        </w:rPr>
        <w:t>.</w:t>
      </w:r>
    </w:p>
    <w:p w:rsidR="00607892" w:rsidRPr="00607892" w:rsidRDefault="00607892" w:rsidP="00607892">
      <w:pPr>
        <w:spacing w:line="312" w:lineRule="auto"/>
        <w:ind w:firstLine="720"/>
        <w:jc w:val="both"/>
        <w:rPr>
          <w:rStyle w:val="Emphasis"/>
          <w:rFonts w:ascii="Times New Roman" w:hAnsi="Times New Roman" w:cs="Times New Roman"/>
          <w:i w:val="0"/>
          <w:sz w:val="26"/>
          <w:szCs w:val="26"/>
        </w:rPr>
      </w:pPr>
      <w:proofErr w:type="gramStart"/>
      <w:r w:rsidRPr="00607892">
        <w:rPr>
          <w:rStyle w:val="Emphasis"/>
          <w:rFonts w:ascii="Times New Roman" w:hAnsi="Times New Roman" w:cs="Times New Roman"/>
          <w:i w:val="0"/>
          <w:sz w:val="26"/>
          <w:szCs w:val="26"/>
        </w:rPr>
        <w:t>Lan Châu đã ra mắt dịch vụ vận chuyển hàng hóa bằng đường sắt và đường bộ đầu tiên với Kathmandu, Nepal vào năm 2016.</w:t>
      </w:r>
      <w:proofErr w:type="gramEnd"/>
      <w:r w:rsidRPr="00607892">
        <w:rPr>
          <w:rStyle w:val="Emphasis"/>
          <w:rFonts w:ascii="Times New Roman" w:hAnsi="Times New Roman" w:cs="Times New Roman"/>
          <w:i w:val="0"/>
          <w:sz w:val="26"/>
          <w:szCs w:val="26"/>
        </w:rPr>
        <w:t xml:space="preserve"> </w:t>
      </w:r>
      <w:proofErr w:type="gramStart"/>
      <w:r w:rsidRPr="00607892">
        <w:rPr>
          <w:rStyle w:val="Emphasis"/>
          <w:rFonts w:ascii="Times New Roman" w:hAnsi="Times New Roman" w:cs="Times New Roman"/>
          <w:i w:val="0"/>
          <w:sz w:val="26"/>
          <w:szCs w:val="26"/>
        </w:rPr>
        <w:t>Tuyến đường này là tuyến giao thương đầu tiên giữa Cam Túc và Nam Á.</w:t>
      </w:r>
      <w:proofErr w:type="gramEnd"/>
    </w:p>
    <w:p w:rsidR="00607892" w:rsidRPr="00607892" w:rsidRDefault="00607892" w:rsidP="00607892">
      <w:pPr>
        <w:spacing w:line="312" w:lineRule="auto"/>
        <w:ind w:firstLine="720"/>
        <w:jc w:val="both"/>
        <w:rPr>
          <w:rStyle w:val="Emphasis"/>
          <w:rFonts w:ascii="Times New Roman" w:hAnsi="Times New Roman" w:cs="Times New Roman"/>
          <w:i w:val="0"/>
          <w:sz w:val="26"/>
          <w:szCs w:val="26"/>
        </w:rPr>
      </w:pPr>
      <w:r w:rsidRPr="00607892">
        <w:rPr>
          <w:rStyle w:val="Emphasis"/>
          <w:rFonts w:ascii="Times New Roman" w:hAnsi="Times New Roman" w:cs="Times New Roman"/>
          <w:i w:val="0"/>
          <w:sz w:val="26"/>
          <w:szCs w:val="26"/>
        </w:rPr>
        <w:t xml:space="preserve">Vào tháng </w:t>
      </w:r>
      <w:r>
        <w:rPr>
          <w:rStyle w:val="Emphasis"/>
          <w:rFonts w:ascii="Times New Roman" w:hAnsi="Times New Roman" w:cs="Times New Roman"/>
          <w:i w:val="0"/>
          <w:sz w:val="26"/>
          <w:szCs w:val="26"/>
        </w:rPr>
        <w:t>10/2019</w:t>
      </w:r>
      <w:r w:rsidRPr="00607892">
        <w:rPr>
          <w:rStyle w:val="Emphasis"/>
          <w:rFonts w:ascii="Times New Roman" w:hAnsi="Times New Roman" w:cs="Times New Roman"/>
          <w:i w:val="0"/>
          <w:sz w:val="26"/>
          <w:szCs w:val="26"/>
        </w:rPr>
        <w:t xml:space="preserve">, một tuyến đường thứ hai đã được </w:t>
      </w:r>
      <w:r w:rsidR="003A2FBB">
        <w:rPr>
          <w:rStyle w:val="Emphasis"/>
          <w:rFonts w:ascii="Times New Roman" w:hAnsi="Times New Roman" w:cs="Times New Roman"/>
          <w:i w:val="0"/>
          <w:sz w:val="26"/>
          <w:szCs w:val="26"/>
        </w:rPr>
        <w:t>triển khai, với hành trình</w:t>
      </w:r>
      <w:r w:rsidRPr="00607892">
        <w:rPr>
          <w:rStyle w:val="Emphasis"/>
          <w:rFonts w:ascii="Times New Roman" w:hAnsi="Times New Roman" w:cs="Times New Roman"/>
          <w:i w:val="0"/>
          <w:sz w:val="26"/>
          <w:szCs w:val="26"/>
        </w:rPr>
        <w:t xml:space="preserve"> từ Lan Châu qua Kashgar ở phía tây bắc Tân Cương của Trung Quốc đế</w:t>
      </w:r>
      <w:r>
        <w:rPr>
          <w:rStyle w:val="Emphasis"/>
          <w:rFonts w:ascii="Times New Roman" w:hAnsi="Times New Roman" w:cs="Times New Roman"/>
          <w:i w:val="0"/>
          <w:sz w:val="26"/>
          <w:szCs w:val="26"/>
        </w:rPr>
        <w:t>n Islamabad, Pakistan.</w:t>
      </w:r>
    </w:p>
    <w:p w:rsidR="00607892" w:rsidRPr="00607892" w:rsidRDefault="00607892" w:rsidP="00607892">
      <w:pPr>
        <w:spacing w:line="312" w:lineRule="auto"/>
        <w:ind w:firstLine="720"/>
        <w:jc w:val="both"/>
        <w:rPr>
          <w:rStyle w:val="Emphasis"/>
          <w:rFonts w:ascii="Times New Roman" w:hAnsi="Times New Roman" w:cs="Times New Roman"/>
          <w:i w:val="0"/>
          <w:sz w:val="26"/>
          <w:szCs w:val="26"/>
        </w:rPr>
      </w:pPr>
      <w:r w:rsidRPr="00607892">
        <w:rPr>
          <w:rStyle w:val="Emphasis"/>
          <w:rFonts w:ascii="Times New Roman" w:hAnsi="Times New Roman" w:cs="Times New Roman"/>
          <w:i w:val="0"/>
          <w:sz w:val="26"/>
          <w:szCs w:val="26"/>
        </w:rPr>
        <w:t>Tỉnh Cam Túc cũng tham gia các tuyến vận chuyển hàng hóa đường bộ kéo dài giữa Trùng Khánh, Quý Châu và Quảng Tây và các nướ</w:t>
      </w:r>
      <w:r>
        <w:rPr>
          <w:rStyle w:val="Emphasis"/>
          <w:rFonts w:ascii="Times New Roman" w:hAnsi="Times New Roman" w:cs="Times New Roman"/>
          <w:i w:val="0"/>
          <w:sz w:val="26"/>
          <w:szCs w:val="26"/>
        </w:rPr>
        <w:t>c Đông Nam Á.</w:t>
      </w:r>
    </w:p>
    <w:p w:rsidR="00607892" w:rsidRPr="00607892" w:rsidRDefault="00607892" w:rsidP="00607892">
      <w:pPr>
        <w:spacing w:line="312" w:lineRule="auto"/>
        <w:ind w:firstLine="720"/>
        <w:jc w:val="both"/>
        <w:rPr>
          <w:rStyle w:val="Emphasis"/>
          <w:rFonts w:ascii="Times New Roman" w:hAnsi="Times New Roman" w:cs="Times New Roman"/>
          <w:i w:val="0"/>
          <w:sz w:val="26"/>
          <w:szCs w:val="26"/>
        </w:rPr>
      </w:pPr>
      <w:r w:rsidRPr="00607892">
        <w:rPr>
          <w:rStyle w:val="Emphasis"/>
          <w:rFonts w:ascii="Times New Roman" w:hAnsi="Times New Roman" w:cs="Times New Roman"/>
          <w:i w:val="0"/>
          <w:sz w:val="26"/>
          <w:szCs w:val="26"/>
        </w:rPr>
        <w:t xml:space="preserve">Năm 2018, </w:t>
      </w:r>
      <w:r>
        <w:rPr>
          <w:rStyle w:val="Emphasis"/>
          <w:rFonts w:ascii="Times New Roman" w:hAnsi="Times New Roman" w:cs="Times New Roman"/>
          <w:i w:val="0"/>
          <w:sz w:val="26"/>
          <w:szCs w:val="26"/>
        </w:rPr>
        <w:t>ngành đường sắt</w:t>
      </w:r>
      <w:r w:rsidRPr="00607892">
        <w:rPr>
          <w:rStyle w:val="Emphasis"/>
          <w:rFonts w:ascii="Times New Roman" w:hAnsi="Times New Roman" w:cs="Times New Roman"/>
          <w:i w:val="0"/>
          <w:sz w:val="26"/>
          <w:szCs w:val="26"/>
        </w:rPr>
        <w:t xml:space="preserve"> Lan Châu đã </w:t>
      </w:r>
      <w:r w:rsidR="003A2FBB">
        <w:rPr>
          <w:rStyle w:val="Emphasis"/>
          <w:rFonts w:ascii="Times New Roman" w:hAnsi="Times New Roman" w:cs="Times New Roman"/>
          <w:i w:val="0"/>
          <w:sz w:val="26"/>
          <w:szCs w:val="26"/>
        </w:rPr>
        <w:t>triển khai</w:t>
      </w:r>
      <w:r w:rsidRPr="00607892">
        <w:rPr>
          <w:rStyle w:val="Emphasis"/>
          <w:rFonts w:ascii="Times New Roman" w:hAnsi="Times New Roman" w:cs="Times New Roman"/>
          <w:i w:val="0"/>
          <w:sz w:val="26"/>
          <w:szCs w:val="26"/>
        </w:rPr>
        <w:t xml:space="preserve"> tổng cộng 185 chuyến tàu đi đế</w:t>
      </w:r>
      <w:r>
        <w:rPr>
          <w:rStyle w:val="Emphasis"/>
          <w:rFonts w:ascii="Times New Roman" w:hAnsi="Times New Roman" w:cs="Times New Roman"/>
          <w:i w:val="0"/>
          <w:sz w:val="26"/>
          <w:szCs w:val="26"/>
        </w:rPr>
        <w:t>n Châu Âu, Trung và Nam Á.</w:t>
      </w:r>
    </w:p>
    <w:p w:rsidR="00607892" w:rsidRPr="00607892" w:rsidRDefault="00607892" w:rsidP="00607892">
      <w:pPr>
        <w:spacing w:line="312" w:lineRule="auto"/>
        <w:ind w:firstLine="720"/>
        <w:jc w:val="both"/>
        <w:rPr>
          <w:rStyle w:val="Emphasis"/>
          <w:rFonts w:ascii="Times New Roman" w:hAnsi="Times New Roman" w:cs="Times New Roman"/>
          <w:i w:val="0"/>
          <w:sz w:val="26"/>
          <w:szCs w:val="26"/>
        </w:rPr>
      </w:pPr>
      <w:r w:rsidRPr="00607892">
        <w:rPr>
          <w:rStyle w:val="Emphasis"/>
          <w:rFonts w:ascii="Times New Roman" w:hAnsi="Times New Roman" w:cs="Times New Roman"/>
          <w:i w:val="0"/>
          <w:sz w:val="26"/>
          <w:szCs w:val="26"/>
        </w:rPr>
        <w:t>Vật liệu nhôm và nông sản như hành tây từ Cam Túc được vận chuyển về phía nam, trong khi các loại trái cây và thủy sản nhiệt đới</w:t>
      </w:r>
      <w:r w:rsidR="003A2FBB">
        <w:rPr>
          <w:rStyle w:val="Emphasis"/>
          <w:rFonts w:ascii="Times New Roman" w:hAnsi="Times New Roman" w:cs="Times New Roman"/>
          <w:i w:val="0"/>
          <w:sz w:val="26"/>
          <w:szCs w:val="26"/>
        </w:rPr>
        <w:t xml:space="preserve"> được vận chuyển</w:t>
      </w:r>
      <w:r w:rsidRPr="00607892">
        <w:rPr>
          <w:rStyle w:val="Emphasis"/>
          <w:rFonts w:ascii="Times New Roman" w:hAnsi="Times New Roman" w:cs="Times New Roman"/>
          <w:i w:val="0"/>
          <w:sz w:val="26"/>
          <w:szCs w:val="26"/>
        </w:rPr>
        <w:t xml:space="preserve"> từ Đông Nam Á đến </w:t>
      </w:r>
      <w:r w:rsidR="003A2FBB">
        <w:rPr>
          <w:rStyle w:val="Emphasis"/>
          <w:rFonts w:ascii="Times New Roman" w:hAnsi="Times New Roman" w:cs="Times New Roman"/>
          <w:i w:val="0"/>
          <w:sz w:val="26"/>
          <w:szCs w:val="26"/>
        </w:rPr>
        <w:t>người tiêu dùng</w:t>
      </w:r>
      <w:r w:rsidRPr="00607892">
        <w:rPr>
          <w:rStyle w:val="Emphasis"/>
          <w:rFonts w:ascii="Times New Roman" w:hAnsi="Times New Roman" w:cs="Times New Roman"/>
          <w:i w:val="0"/>
          <w:sz w:val="26"/>
          <w:szCs w:val="26"/>
        </w:rPr>
        <w:t xml:space="preserve"> ở vùng nội địa phía tây bắc Trung Quố</w:t>
      </w:r>
      <w:r>
        <w:rPr>
          <w:rStyle w:val="Emphasis"/>
          <w:rFonts w:ascii="Times New Roman" w:hAnsi="Times New Roman" w:cs="Times New Roman"/>
          <w:i w:val="0"/>
          <w:sz w:val="26"/>
          <w:szCs w:val="26"/>
        </w:rPr>
        <w:t>c.</w:t>
      </w:r>
    </w:p>
    <w:p w:rsidR="00607892" w:rsidRDefault="00607892" w:rsidP="00607892">
      <w:pPr>
        <w:spacing w:line="312" w:lineRule="auto"/>
        <w:ind w:firstLine="720"/>
        <w:jc w:val="both"/>
        <w:rPr>
          <w:rStyle w:val="Emphasis"/>
          <w:rFonts w:ascii="Times New Roman" w:hAnsi="Times New Roman" w:cs="Times New Roman"/>
          <w:i w:val="0"/>
          <w:sz w:val="26"/>
          <w:szCs w:val="26"/>
        </w:rPr>
      </w:pPr>
      <w:r w:rsidRPr="00607892">
        <w:rPr>
          <w:rStyle w:val="Emphasis"/>
          <w:rFonts w:ascii="Times New Roman" w:hAnsi="Times New Roman" w:cs="Times New Roman"/>
          <w:i w:val="0"/>
          <w:sz w:val="26"/>
          <w:szCs w:val="26"/>
        </w:rPr>
        <w:t>Số liệu của Hải quan</w:t>
      </w:r>
      <w:r w:rsidR="003A2FBB">
        <w:rPr>
          <w:rStyle w:val="Emphasis"/>
          <w:rFonts w:ascii="Times New Roman" w:hAnsi="Times New Roman" w:cs="Times New Roman"/>
          <w:i w:val="0"/>
          <w:sz w:val="26"/>
          <w:szCs w:val="26"/>
        </w:rPr>
        <w:t xml:space="preserve"> của</w:t>
      </w:r>
      <w:r w:rsidRPr="00607892">
        <w:rPr>
          <w:rStyle w:val="Emphasis"/>
          <w:rFonts w:ascii="Times New Roman" w:hAnsi="Times New Roman" w:cs="Times New Roman"/>
          <w:i w:val="0"/>
          <w:sz w:val="26"/>
          <w:szCs w:val="26"/>
        </w:rPr>
        <w:t xml:space="preserve"> Lan Châu cho thấy </w:t>
      </w:r>
      <w:r>
        <w:rPr>
          <w:rStyle w:val="Emphasis"/>
          <w:rFonts w:ascii="Times New Roman" w:hAnsi="Times New Roman" w:cs="Times New Roman"/>
          <w:i w:val="0"/>
          <w:sz w:val="26"/>
          <w:szCs w:val="26"/>
        </w:rPr>
        <w:t>trong 3 tháng đầu năm 2019</w:t>
      </w:r>
      <w:r w:rsidRPr="00607892">
        <w:rPr>
          <w:rStyle w:val="Emphasis"/>
          <w:rFonts w:ascii="Times New Roman" w:hAnsi="Times New Roman" w:cs="Times New Roman"/>
          <w:i w:val="0"/>
          <w:sz w:val="26"/>
          <w:szCs w:val="26"/>
        </w:rPr>
        <w:t>, giao thương giữa tỉnh Cam Túc và các quốc gia</w:t>
      </w:r>
      <w:r>
        <w:rPr>
          <w:rStyle w:val="Emphasis"/>
          <w:rFonts w:ascii="Times New Roman" w:hAnsi="Times New Roman" w:cs="Times New Roman"/>
          <w:i w:val="0"/>
          <w:sz w:val="26"/>
          <w:szCs w:val="26"/>
        </w:rPr>
        <w:t xml:space="preserve"> trong tuyến</w:t>
      </w:r>
      <w:r w:rsidRPr="00607892">
        <w:rPr>
          <w:rStyle w:val="Emphasis"/>
          <w:rFonts w:ascii="Times New Roman" w:hAnsi="Times New Roman" w:cs="Times New Roman"/>
          <w:i w:val="0"/>
          <w:sz w:val="26"/>
          <w:szCs w:val="26"/>
        </w:rPr>
        <w:t xml:space="preserve"> Vành đai và Đường bộ đạt 4,78 tỷ nhân dân tệ (713 triệu đô la Mỹ</w:t>
      </w:r>
      <w:r>
        <w:rPr>
          <w:rStyle w:val="Emphasis"/>
          <w:rFonts w:ascii="Times New Roman" w:hAnsi="Times New Roman" w:cs="Times New Roman"/>
          <w:i w:val="0"/>
          <w:sz w:val="26"/>
          <w:szCs w:val="26"/>
        </w:rPr>
        <w:t xml:space="preserve">), tăng 6% so với cùng kỳ năm ngoái. </w:t>
      </w:r>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3" w:name="_Toc5634788"/>
      <w:r w:rsidRPr="00AC37BB">
        <w:rPr>
          <w:rStyle w:val="Emphasis"/>
          <w:rFonts w:ascii="Times New Roman" w:hAnsi="Times New Roman" w:cs="Times New Roman"/>
          <w:b/>
          <w:sz w:val="26"/>
          <w:szCs w:val="26"/>
        </w:rPr>
        <w:t>Vận chuyển đường bộ</w:t>
      </w:r>
      <w:bookmarkEnd w:id="13"/>
    </w:p>
    <w:p w:rsidR="00BB7546" w:rsidRDefault="00767AB0" w:rsidP="005A19B4">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w:t>
      </w:r>
      <w:r w:rsidR="0054494F">
        <w:rPr>
          <w:rFonts w:ascii="Times New Roman" w:hAnsi="Times New Roman" w:cs="Times New Roman"/>
          <w:sz w:val="26"/>
          <w:szCs w:val="26"/>
        </w:rPr>
        <w:t>đạ</w:t>
      </w:r>
      <w:r w:rsidR="009E1305">
        <w:rPr>
          <w:rFonts w:ascii="Times New Roman" w:hAnsi="Times New Roman" w:cs="Times New Roman"/>
          <w:sz w:val="26"/>
          <w:szCs w:val="26"/>
        </w:rPr>
        <w:t xml:space="preserve">t </w:t>
      </w:r>
      <w:r w:rsidR="008A4AD6">
        <w:rPr>
          <w:rFonts w:ascii="Times New Roman" w:hAnsi="Times New Roman" w:cs="Times New Roman"/>
          <w:sz w:val="26"/>
          <w:szCs w:val="26"/>
        </w:rPr>
        <w:t>3</w:t>
      </w:r>
      <w:proofErr w:type="gramStart"/>
      <w:r w:rsidR="008A4AD6">
        <w:rPr>
          <w:rFonts w:ascii="Times New Roman" w:hAnsi="Times New Roman" w:cs="Times New Roman"/>
          <w:sz w:val="26"/>
          <w:szCs w:val="26"/>
        </w:rPr>
        <w:t>,55</w:t>
      </w:r>
      <w:proofErr w:type="gramEnd"/>
      <w:r w:rsidR="0054494F">
        <w:rPr>
          <w:rFonts w:ascii="Times New Roman" w:hAnsi="Times New Roman" w:cs="Times New Roman"/>
          <w:sz w:val="26"/>
          <w:szCs w:val="26"/>
        </w:rPr>
        <w:t xml:space="preserve"> tỷ tấn</w:t>
      </w:r>
      <w:r>
        <w:rPr>
          <w:rFonts w:ascii="Times New Roman" w:hAnsi="Times New Roman" w:cs="Times New Roman"/>
          <w:sz w:val="26"/>
          <w:szCs w:val="26"/>
        </w:rPr>
        <w:t xml:space="preserve"> trong tháng </w:t>
      </w:r>
      <w:r w:rsidR="00891A20">
        <w:rPr>
          <w:rFonts w:ascii="Times New Roman" w:hAnsi="Times New Roman" w:cs="Times New Roman"/>
          <w:sz w:val="26"/>
          <w:szCs w:val="26"/>
        </w:rPr>
        <w:t>4</w:t>
      </w:r>
      <w:r>
        <w:rPr>
          <w:rFonts w:ascii="Times New Roman" w:hAnsi="Times New Roman" w:cs="Times New Roman"/>
          <w:sz w:val="26"/>
          <w:szCs w:val="26"/>
        </w:rPr>
        <w:t xml:space="preserve"> năm 2019, tăng </w:t>
      </w:r>
      <w:r w:rsidR="008A4AD6">
        <w:rPr>
          <w:rFonts w:ascii="Times New Roman" w:hAnsi="Times New Roman" w:cs="Times New Roman"/>
          <w:sz w:val="26"/>
          <w:szCs w:val="26"/>
        </w:rPr>
        <w:t>5,6</w:t>
      </w:r>
      <w:r>
        <w:rPr>
          <w:rFonts w:ascii="Times New Roman" w:hAnsi="Times New Roman" w:cs="Times New Roman"/>
          <w:sz w:val="26"/>
          <w:szCs w:val="26"/>
        </w:rPr>
        <w:t>% so vớ</w:t>
      </w:r>
      <w:r w:rsidR="00B93841">
        <w:rPr>
          <w:rFonts w:ascii="Times New Roman" w:hAnsi="Times New Roman" w:cs="Times New Roman"/>
          <w:sz w:val="26"/>
          <w:szCs w:val="26"/>
        </w:rPr>
        <w:t xml:space="preserve">i tháng </w:t>
      </w:r>
      <w:r w:rsidR="008A4AD6">
        <w:rPr>
          <w:rFonts w:ascii="Times New Roman" w:hAnsi="Times New Roman" w:cs="Times New Roman"/>
          <w:sz w:val="26"/>
          <w:szCs w:val="26"/>
        </w:rPr>
        <w:t>4</w:t>
      </w:r>
      <w:r>
        <w:rPr>
          <w:rFonts w:ascii="Times New Roman" w:hAnsi="Times New Roman" w:cs="Times New Roman"/>
          <w:sz w:val="26"/>
          <w:szCs w:val="26"/>
        </w:rPr>
        <w:t>/2018</w:t>
      </w:r>
      <w:r w:rsidR="00674070">
        <w:rPr>
          <w:rFonts w:ascii="Times New Roman" w:hAnsi="Times New Roman" w:cs="Times New Roman"/>
          <w:sz w:val="26"/>
          <w:szCs w:val="26"/>
        </w:rPr>
        <w:t xml:space="preserve">. </w:t>
      </w:r>
    </w:p>
    <w:p w:rsidR="00AE0E3E" w:rsidRDefault="00B93841" w:rsidP="005A19B4">
      <w:pPr>
        <w:spacing w:line="312" w:lineRule="auto"/>
        <w:ind w:firstLine="720"/>
        <w:jc w:val="both"/>
        <w:rPr>
          <w:rStyle w:val="Emphasis"/>
          <w:rFonts w:ascii="Times New Roman" w:hAnsi="Times New Roman" w:cs="Times New Roman"/>
          <w:i w:val="0"/>
          <w:sz w:val="26"/>
          <w:szCs w:val="26"/>
        </w:rPr>
      </w:pPr>
      <w:r>
        <w:rPr>
          <w:rFonts w:ascii="Times New Roman" w:hAnsi="Times New Roman" w:cs="Times New Roman"/>
          <w:sz w:val="26"/>
          <w:szCs w:val="26"/>
        </w:rPr>
        <w:t xml:space="preserve">Tính chung </w:t>
      </w:r>
      <w:r w:rsidR="008A4AD6">
        <w:rPr>
          <w:rFonts w:ascii="Times New Roman" w:hAnsi="Times New Roman" w:cs="Times New Roman"/>
          <w:sz w:val="26"/>
          <w:szCs w:val="26"/>
        </w:rPr>
        <w:t>4</w:t>
      </w:r>
      <w:r>
        <w:rPr>
          <w:rFonts w:ascii="Times New Roman" w:hAnsi="Times New Roman" w:cs="Times New Roman"/>
          <w:sz w:val="26"/>
          <w:szCs w:val="26"/>
        </w:rPr>
        <w:t xml:space="preserve"> </w:t>
      </w:r>
      <w:r w:rsidR="005A19B4">
        <w:rPr>
          <w:rFonts w:ascii="Times New Roman" w:hAnsi="Times New Roman" w:cs="Times New Roman"/>
          <w:sz w:val="26"/>
          <w:szCs w:val="26"/>
        </w:rPr>
        <w:t>tháng đầu năm, vận chuyển hàng hóa bằng đường bộ đạ</w:t>
      </w:r>
      <w:r>
        <w:rPr>
          <w:rFonts w:ascii="Times New Roman" w:hAnsi="Times New Roman" w:cs="Times New Roman"/>
          <w:sz w:val="26"/>
          <w:szCs w:val="26"/>
        </w:rPr>
        <w:t xml:space="preserve">t </w:t>
      </w:r>
      <w:r w:rsidR="008A4AD6">
        <w:rPr>
          <w:rFonts w:ascii="Times New Roman" w:hAnsi="Times New Roman" w:cs="Times New Roman"/>
          <w:sz w:val="26"/>
          <w:szCs w:val="26"/>
        </w:rPr>
        <w:t>11</w:t>
      </w:r>
      <w:proofErr w:type="gramStart"/>
      <w:r>
        <w:rPr>
          <w:rFonts w:ascii="Times New Roman" w:hAnsi="Times New Roman" w:cs="Times New Roman"/>
          <w:sz w:val="26"/>
          <w:szCs w:val="26"/>
        </w:rPr>
        <w:t>,</w:t>
      </w:r>
      <w:r w:rsidR="008A4AD6">
        <w:rPr>
          <w:rFonts w:ascii="Times New Roman" w:hAnsi="Times New Roman" w:cs="Times New Roman"/>
          <w:sz w:val="26"/>
          <w:szCs w:val="26"/>
        </w:rPr>
        <w:t>7</w:t>
      </w:r>
      <w:proofErr w:type="gramEnd"/>
      <w:r w:rsidR="008A4AD6">
        <w:rPr>
          <w:rFonts w:ascii="Times New Roman" w:hAnsi="Times New Roman" w:cs="Times New Roman"/>
          <w:sz w:val="26"/>
          <w:szCs w:val="26"/>
        </w:rPr>
        <w:t xml:space="preserve"> </w:t>
      </w:r>
      <w:r w:rsidR="005A19B4">
        <w:rPr>
          <w:rFonts w:ascii="Times New Roman" w:hAnsi="Times New Roman" w:cs="Times New Roman"/>
          <w:sz w:val="26"/>
          <w:szCs w:val="26"/>
        </w:rPr>
        <w:t xml:space="preserve">tỷ tấn, tăng </w:t>
      </w:r>
      <w:r w:rsidR="008A4AD6">
        <w:rPr>
          <w:rFonts w:ascii="Times New Roman" w:hAnsi="Times New Roman" w:cs="Times New Roman"/>
          <w:sz w:val="26"/>
          <w:szCs w:val="26"/>
        </w:rPr>
        <w:t>5,8</w:t>
      </w:r>
      <w:r w:rsidR="005A19B4">
        <w:rPr>
          <w:rFonts w:ascii="Times New Roman" w:hAnsi="Times New Roman" w:cs="Times New Roman"/>
          <w:sz w:val="26"/>
          <w:szCs w:val="26"/>
        </w:rPr>
        <w:t xml:space="preserve">% so với cùng kỳ năm 2018. </w:t>
      </w:r>
      <w:r w:rsidR="00AE0E3E" w:rsidRPr="00AE0E3E">
        <w:rPr>
          <w:rStyle w:val="Emphasis"/>
          <w:rFonts w:ascii="Times New Roman" w:hAnsi="Times New Roman" w:cs="Times New Roman"/>
          <w:i w:val="0"/>
          <w:sz w:val="26"/>
          <w:szCs w:val="26"/>
        </w:rPr>
        <w:t xml:space="preserve"> </w:t>
      </w:r>
    </w:p>
    <w:p w:rsidR="00F24132" w:rsidRDefault="00F24132" w:rsidP="005A19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Vận chuyển đường bộ xuyên quốc gia của Trung Quốc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các tuyến Á- Âu dự báo sẽ tiếp tục tăng trưởng, và là động lực quan trọng cho duy trì tăng trưởng vận chuyển đường bộ trong thời gian tới. </w:t>
      </w:r>
    </w:p>
    <w:p w:rsidR="00F24132" w:rsidRDefault="00F24132" w:rsidP="005A19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Theo Liên hiệp vận chuyển đường bộ quốc tế (IRU), s</w:t>
      </w:r>
      <w:r w:rsidRPr="00F24132">
        <w:rPr>
          <w:rStyle w:val="Emphasis"/>
          <w:rFonts w:ascii="Times New Roman" w:hAnsi="Times New Roman" w:cs="Times New Roman"/>
          <w:i w:val="0"/>
          <w:sz w:val="26"/>
          <w:szCs w:val="26"/>
        </w:rPr>
        <w:t>ử dụng vận tải đường bộ giữa Trung Quốc và châu Âu có thể tiết kiệm tới 10 ngày thời gian giao hàng so với đường sắt và chi phí thấp hơn nhiều so với vận chuyển hàng không</w:t>
      </w:r>
      <w:r>
        <w:rPr>
          <w:rStyle w:val="Emphasis"/>
          <w:rFonts w:ascii="Times New Roman" w:hAnsi="Times New Roman" w:cs="Times New Roman"/>
          <w:i w:val="0"/>
          <w:sz w:val="26"/>
          <w:szCs w:val="26"/>
        </w:rPr>
        <w:t>.</w:t>
      </w:r>
    </w:p>
    <w:p w:rsidR="00F24132" w:rsidRPr="005A19B4" w:rsidRDefault="00F24132" w:rsidP="00F24132">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V</w:t>
      </w:r>
      <w:r w:rsidRPr="00F24132">
        <w:rPr>
          <w:rStyle w:val="Emphasis"/>
          <w:rFonts w:ascii="Times New Roman" w:hAnsi="Times New Roman" w:cs="Times New Roman"/>
          <w:i w:val="0"/>
          <w:iCs w:val="0"/>
          <w:sz w:val="26"/>
          <w:szCs w:val="26"/>
        </w:rPr>
        <w:t>ậ</w:t>
      </w:r>
      <w:r>
        <w:rPr>
          <w:rStyle w:val="Emphasis"/>
          <w:rFonts w:ascii="Times New Roman" w:hAnsi="Times New Roman" w:cs="Times New Roman"/>
          <w:i w:val="0"/>
          <w:iCs w:val="0"/>
          <w:sz w:val="26"/>
          <w:szCs w:val="26"/>
        </w:rPr>
        <w:t>n chuyển</w:t>
      </w:r>
      <w:r w:rsidRPr="00F24132">
        <w:rPr>
          <w:rStyle w:val="Emphasis"/>
          <w:rFonts w:ascii="Times New Roman" w:hAnsi="Times New Roman" w:cs="Times New Roman"/>
          <w:i w:val="0"/>
          <w:iCs w:val="0"/>
          <w:sz w:val="26"/>
          <w:szCs w:val="26"/>
        </w:rPr>
        <w:t xml:space="preserve"> hàng hóa bằng xe tải giữa Trung Quốc và châu Âu </w:t>
      </w:r>
      <w:r>
        <w:rPr>
          <w:rStyle w:val="Emphasis"/>
          <w:rFonts w:ascii="Times New Roman" w:hAnsi="Times New Roman" w:cs="Times New Roman"/>
          <w:i w:val="0"/>
          <w:iCs w:val="0"/>
          <w:sz w:val="26"/>
          <w:szCs w:val="26"/>
        </w:rPr>
        <w:t>được dự báo sẽ tăng</w:t>
      </w:r>
      <w:r w:rsidRPr="00F24132">
        <w:rPr>
          <w:rStyle w:val="Emphasis"/>
          <w:rFonts w:ascii="Times New Roman" w:hAnsi="Times New Roman" w:cs="Times New Roman"/>
          <w:i w:val="0"/>
          <w:iCs w:val="0"/>
          <w:sz w:val="26"/>
          <w:szCs w:val="26"/>
        </w:rPr>
        <w:t xml:space="preserve"> đáng kể sau khi</w:t>
      </w:r>
      <w:r>
        <w:rPr>
          <w:rStyle w:val="Emphasis"/>
          <w:rFonts w:ascii="Times New Roman" w:hAnsi="Times New Roman" w:cs="Times New Roman"/>
          <w:i w:val="0"/>
          <w:iCs w:val="0"/>
          <w:sz w:val="26"/>
          <w:szCs w:val="26"/>
        </w:rPr>
        <w:t xml:space="preserve"> thử nghiệm thành công chuyến</w:t>
      </w:r>
      <w:r w:rsidRPr="00F24132">
        <w:rPr>
          <w:rStyle w:val="Emphasis"/>
          <w:rFonts w:ascii="Times New Roman" w:hAnsi="Times New Roman" w:cs="Times New Roman"/>
          <w:i w:val="0"/>
          <w:iCs w:val="0"/>
          <w:sz w:val="26"/>
          <w:szCs w:val="26"/>
        </w:rPr>
        <w:t xml:space="preserve"> xe chở đầy thiết bị sản xuất công nghệ cao </w:t>
      </w:r>
      <w:r>
        <w:rPr>
          <w:rStyle w:val="Emphasis"/>
          <w:rFonts w:ascii="Times New Roman" w:hAnsi="Times New Roman" w:cs="Times New Roman"/>
          <w:i w:val="0"/>
          <w:iCs w:val="0"/>
          <w:sz w:val="26"/>
          <w:szCs w:val="26"/>
        </w:rPr>
        <w:t xml:space="preserve">với </w:t>
      </w:r>
      <w:r w:rsidRPr="00F24132">
        <w:rPr>
          <w:rStyle w:val="Emphasis"/>
          <w:rFonts w:ascii="Times New Roman" w:hAnsi="Times New Roman" w:cs="Times New Roman"/>
          <w:i w:val="0"/>
          <w:iCs w:val="0"/>
          <w:sz w:val="26"/>
          <w:szCs w:val="26"/>
        </w:rPr>
        <w:t>ành trình dài 6.840 dặm từ Dornstadt ở miền nam nước Đức đến Thượng Hải</w:t>
      </w:r>
      <w:r>
        <w:rPr>
          <w:rStyle w:val="Emphasis"/>
          <w:rFonts w:ascii="Times New Roman" w:hAnsi="Times New Roman" w:cs="Times New Roman"/>
          <w:i w:val="0"/>
          <w:iCs w:val="0"/>
          <w:sz w:val="26"/>
          <w:szCs w:val="26"/>
        </w:rPr>
        <w:t xml:space="preserve">. </w:t>
      </w:r>
      <w:r w:rsidRPr="00F24132">
        <w:rPr>
          <w:rStyle w:val="Emphasis"/>
          <w:rFonts w:ascii="Times New Roman" w:hAnsi="Times New Roman" w:cs="Times New Roman"/>
          <w:i w:val="0"/>
          <w:iCs w:val="0"/>
          <w:sz w:val="26"/>
          <w:szCs w:val="26"/>
        </w:rPr>
        <w:t xml:space="preserve">Chiếc xe tải chở hàng đã đi qua Đức, Ba Lan, Bêlarut, Nga và Kazakhstan trước khi vào Trung Quốc cho chặng cuối của hành trình. Đây cũng </w:t>
      </w:r>
      <w:r>
        <w:rPr>
          <w:rStyle w:val="Emphasis"/>
          <w:rFonts w:ascii="Times New Roman" w:hAnsi="Times New Roman" w:cs="Times New Roman"/>
          <w:i w:val="0"/>
          <w:iCs w:val="0"/>
          <w:sz w:val="26"/>
          <w:szCs w:val="26"/>
        </w:rPr>
        <w:t>là dịch vụ</w:t>
      </w:r>
      <w:r w:rsidRPr="00F24132">
        <w:rPr>
          <w:rStyle w:val="Emphasis"/>
          <w:rFonts w:ascii="Times New Roman" w:hAnsi="Times New Roman" w:cs="Times New Roman"/>
          <w:i w:val="0"/>
          <w:iCs w:val="0"/>
          <w:sz w:val="26"/>
          <w:szCs w:val="26"/>
        </w:rPr>
        <w:t xml:space="preserve"> vận tải hàng hóa từ châu Âu đến Thượng Hải đầu tiên của Công ty quản lý chuỗi cung ứng Tô Châu Daoxin của Tô Châu, tỉnh Giang Tô</w:t>
      </w:r>
      <w:r>
        <w:rPr>
          <w:rStyle w:val="Emphasis"/>
          <w:rFonts w:ascii="Times New Roman" w:hAnsi="Times New Roman" w:cs="Times New Roman"/>
          <w:i w:val="0"/>
          <w:iCs w:val="0"/>
          <w:sz w:val="26"/>
          <w:szCs w:val="26"/>
        </w:rPr>
        <w:t>, Trung Quốc</w:t>
      </w:r>
      <w:r w:rsidRPr="00F24132">
        <w:rPr>
          <w:rStyle w:val="Emphasis"/>
          <w:rFonts w:ascii="Times New Roman" w:hAnsi="Times New Roman" w:cs="Times New Roman"/>
          <w:i w:val="0"/>
          <w:iCs w:val="0"/>
          <w:sz w:val="26"/>
          <w:szCs w:val="26"/>
        </w:rPr>
        <w:t>.</w:t>
      </w:r>
    </w:p>
    <w:p w:rsidR="003243B3" w:rsidRDefault="003243B3" w:rsidP="003243B3">
      <w:pPr>
        <w:pStyle w:val="ListParagraph"/>
        <w:spacing w:line="312" w:lineRule="auto"/>
        <w:jc w:val="center"/>
        <w:rPr>
          <w:rFonts w:ascii="Times New Roman" w:hAnsi="Times New Roman" w:cs="Times New Roman"/>
          <w:b/>
          <w:bCs/>
          <w:sz w:val="26"/>
          <w:szCs w:val="26"/>
        </w:rPr>
      </w:pPr>
      <w:bookmarkStart w:id="14" w:name="_Toc10017964"/>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F24132">
        <w:rPr>
          <w:rFonts w:ascii="Times New Roman" w:hAnsi="Times New Roman" w:cs="Times New Roman"/>
          <w:b/>
          <w:noProof/>
          <w:sz w:val="26"/>
          <w:szCs w:val="26"/>
        </w:rPr>
        <w:t>6</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Pr>
          <w:rFonts w:ascii="Times New Roman" w:hAnsi="Times New Roman" w:cs="Times New Roman"/>
          <w:b/>
          <w:bCs/>
          <w:sz w:val="26"/>
          <w:szCs w:val="26"/>
        </w:rPr>
        <w:t>theo</w:t>
      </w:r>
      <w:proofErr w:type="gramEnd"/>
      <w:r>
        <w:rPr>
          <w:rFonts w:ascii="Times New Roman" w:hAnsi="Times New Roman" w:cs="Times New Roman"/>
          <w:b/>
          <w:bCs/>
          <w:sz w:val="26"/>
          <w:szCs w:val="26"/>
        </w:rPr>
        <w:t xml:space="preserve"> tháng</w:t>
      </w:r>
      <w:bookmarkEnd w:id="14"/>
      <w:r>
        <w:rPr>
          <w:rFonts w:ascii="Times New Roman" w:hAnsi="Times New Roman" w:cs="Times New Roman"/>
          <w:b/>
          <w:bCs/>
          <w:sz w:val="26"/>
          <w:szCs w:val="26"/>
        </w:rPr>
        <w:t xml:space="preserve"> </w:t>
      </w:r>
    </w:p>
    <w:p w:rsidR="008A4AD6" w:rsidRPr="0009306F" w:rsidRDefault="003243B3" w:rsidP="0009306F">
      <w:pPr>
        <w:pStyle w:val="ListParagraph"/>
        <w:spacing w:line="312" w:lineRule="auto"/>
        <w:jc w:val="center"/>
        <w:rPr>
          <w:rStyle w:val="Emphasis"/>
          <w:i w:val="0"/>
          <w:iCs w:val="0"/>
          <w:noProof/>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Pr>
          <w:rFonts w:ascii="Times New Roman" w:hAnsi="Times New Roman" w:cs="Times New Roman"/>
          <w:b/>
          <w:bCs/>
          <w:sz w:val="26"/>
          <w:szCs w:val="26"/>
        </w:rPr>
        <w:t xml:space="preserve"> </w:t>
      </w:r>
      <w:r w:rsidRPr="00A027FF">
        <w:rPr>
          <w:rFonts w:ascii="Times New Roman" w:hAnsi="Times New Roman" w:cs="Times New Roman"/>
          <w:b/>
          <w:bCs/>
          <w:sz w:val="26"/>
          <w:szCs w:val="26"/>
        </w:rPr>
        <w:t xml:space="preserve"> (đvt: 10.000 tấn)</w:t>
      </w:r>
    </w:p>
    <w:p w:rsidR="008A4AD6" w:rsidRDefault="008A4AD6" w:rsidP="008A4AD6">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4EF8264D" wp14:editId="20E22AB2">
            <wp:extent cx="5022850" cy="2463801"/>
            <wp:effectExtent l="0" t="0" r="254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61CAF" w:rsidRDefault="003243B3" w:rsidP="0009306F">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w:t>
      </w:r>
      <w:r w:rsidR="00BE6124">
        <w:rPr>
          <w:rStyle w:val="Emphasis"/>
          <w:rFonts w:ascii="Times New Roman" w:hAnsi="Times New Roman" w:cs="Times New Roman"/>
          <w:sz w:val="26"/>
          <w:szCs w:val="26"/>
        </w:rPr>
        <w:t>c</w:t>
      </w:r>
    </w:p>
    <w:p w:rsidR="0009306F" w:rsidRPr="0009306F" w:rsidRDefault="0009306F" w:rsidP="0009306F">
      <w:pPr>
        <w:pStyle w:val="ListParagraph"/>
        <w:spacing w:line="312" w:lineRule="auto"/>
        <w:ind w:left="0"/>
        <w:jc w:val="center"/>
        <w:rPr>
          <w:rStyle w:val="Emphasis"/>
          <w:rFonts w:ascii="Times New Roman" w:hAnsi="Times New Roman" w:cs="Times New Roman"/>
          <w:sz w:val="26"/>
          <w:szCs w:val="26"/>
        </w:rPr>
      </w:pP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5" w:name="_Toc5634789"/>
      <w:r w:rsidRPr="00AC37BB">
        <w:rPr>
          <w:rStyle w:val="Emphasis"/>
          <w:rFonts w:ascii="Times New Roman" w:hAnsi="Times New Roman" w:cs="Times New Roman"/>
          <w:b/>
          <w:sz w:val="26"/>
          <w:szCs w:val="26"/>
        </w:rPr>
        <w:t>Vận chuyển đường thủy</w:t>
      </w:r>
      <w:r w:rsidR="00DE1410">
        <w:rPr>
          <w:rStyle w:val="Emphasis"/>
          <w:rFonts w:ascii="Times New Roman" w:hAnsi="Times New Roman" w:cs="Times New Roman"/>
          <w:b/>
          <w:sz w:val="26"/>
          <w:szCs w:val="26"/>
        </w:rPr>
        <w:t xml:space="preserve"> (đường biển và đường thủy nội địa- waterways)</w:t>
      </w:r>
      <w:bookmarkEnd w:id="15"/>
    </w:p>
    <w:p w:rsidR="00973A24" w:rsidRDefault="008A4AD6" w:rsidP="00973A2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Trong tháng 4/2019, có hơn 599 triệu</w:t>
      </w:r>
      <w:r w:rsidRPr="00261835">
        <w:rPr>
          <w:rStyle w:val="Emphasis"/>
          <w:rFonts w:ascii="Times New Roman" w:hAnsi="Times New Roman" w:cs="Times New Roman"/>
          <w:i w:val="0"/>
          <w:sz w:val="26"/>
          <w:szCs w:val="26"/>
        </w:rPr>
        <w:t xml:space="preserve"> tấn</w:t>
      </w:r>
      <w:r>
        <w:rPr>
          <w:rStyle w:val="Emphasis"/>
          <w:rFonts w:ascii="Times New Roman" w:hAnsi="Times New Roman" w:cs="Times New Roman"/>
          <w:i w:val="0"/>
          <w:sz w:val="26"/>
          <w:szCs w:val="26"/>
        </w:rPr>
        <w:t xml:space="preserve"> hàng hóa được v</w:t>
      </w:r>
      <w:r w:rsidR="00674070">
        <w:rPr>
          <w:rStyle w:val="Emphasis"/>
          <w:rFonts w:ascii="Times New Roman" w:hAnsi="Times New Roman" w:cs="Times New Roman"/>
          <w:i w:val="0"/>
          <w:sz w:val="26"/>
          <w:szCs w:val="26"/>
        </w:rPr>
        <w:t>ậ</w:t>
      </w:r>
      <w:r w:rsidR="0064258B" w:rsidRPr="00261835">
        <w:rPr>
          <w:rStyle w:val="Emphasis"/>
          <w:rFonts w:ascii="Times New Roman" w:hAnsi="Times New Roman" w:cs="Times New Roman"/>
          <w:i w:val="0"/>
          <w:sz w:val="26"/>
          <w:szCs w:val="26"/>
        </w:rPr>
        <w:t>n chuyển bằng đường thủy</w:t>
      </w:r>
      <w:r w:rsidR="00DE1410">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 xml:space="preserve">nội địa </w:t>
      </w:r>
      <w:r w:rsidR="00DE1410">
        <w:rPr>
          <w:rStyle w:val="Emphasis"/>
          <w:rFonts w:ascii="Times New Roman" w:hAnsi="Times New Roman" w:cs="Times New Roman"/>
          <w:i w:val="0"/>
          <w:sz w:val="26"/>
          <w:szCs w:val="26"/>
        </w:rPr>
        <w:t>và đường biển</w:t>
      </w:r>
      <w:r w:rsidR="0064258B" w:rsidRPr="00261835">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tại</w:t>
      </w:r>
      <w:r w:rsidR="00674070">
        <w:rPr>
          <w:rStyle w:val="Emphasis"/>
          <w:rFonts w:ascii="Times New Roman" w:hAnsi="Times New Roman" w:cs="Times New Roman"/>
          <w:i w:val="0"/>
          <w:sz w:val="26"/>
          <w:szCs w:val="26"/>
        </w:rPr>
        <w:t xml:space="preserve"> Trung Quốc</w:t>
      </w:r>
      <w:r>
        <w:rPr>
          <w:rStyle w:val="Emphasis"/>
          <w:rFonts w:ascii="Times New Roman" w:hAnsi="Times New Roman" w:cs="Times New Roman"/>
          <w:i w:val="0"/>
          <w:sz w:val="26"/>
          <w:szCs w:val="26"/>
        </w:rPr>
        <w:t>, tăng 7,2% so với cùng kỳ năm trước</w:t>
      </w:r>
      <w:r w:rsidR="008372E1">
        <w:rPr>
          <w:rStyle w:val="Emphasis"/>
          <w:rFonts w:ascii="Times New Roman" w:hAnsi="Times New Roman" w:cs="Times New Roman"/>
          <w:i w:val="0"/>
          <w:sz w:val="26"/>
          <w:szCs w:val="26"/>
        </w:rPr>
        <w:t xml:space="preserve">. </w:t>
      </w:r>
    </w:p>
    <w:p w:rsidR="00140B88" w:rsidRDefault="00140B88" w:rsidP="00BE612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Tính chung </w:t>
      </w:r>
      <w:r w:rsidR="008A4AD6">
        <w:rPr>
          <w:rStyle w:val="Emphasis"/>
          <w:rFonts w:ascii="Times New Roman" w:hAnsi="Times New Roman" w:cs="Times New Roman"/>
          <w:i w:val="0"/>
          <w:sz w:val="26"/>
          <w:szCs w:val="26"/>
        </w:rPr>
        <w:t>4</w:t>
      </w:r>
      <w:r>
        <w:rPr>
          <w:rStyle w:val="Emphasis"/>
          <w:rFonts w:ascii="Times New Roman" w:hAnsi="Times New Roman" w:cs="Times New Roman"/>
          <w:i w:val="0"/>
          <w:sz w:val="26"/>
          <w:szCs w:val="26"/>
        </w:rPr>
        <w:t xml:space="preserve"> tháng đầu năm 2019, vận chuyển hàng hóa bằng đường thủy đạ</w:t>
      </w:r>
      <w:r w:rsidR="00B93841">
        <w:rPr>
          <w:rStyle w:val="Emphasis"/>
          <w:rFonts w:ascii="Times New Roman" w:hAnsi="Times New Roman" w:cs="Times New Roman"/>
          <w:i w:val="0"/>
          <w:sz w:val="26"/>
          <w:szCs w:val="26"/>
        </w:rPr>
        <w:t xml:space="preserve">t </w:t>
      </w:r>
      <w:r w:rsidR="008A4AD6">
        <w:rPr>
          <w:rStyle w:val="Emphasis"/>
          <w:rFonts w:ascii="Times New Roman" w:hAnsi="Times New Roman" w:cs="Times New Roman"/>
          <w:i w:val="0"/>
          <w:sz w:val="26"/>
          <w:szCs w:val="26"/>
        </w:rPr>
        <w:t>2</w:t>
      </w:r>
      <w:proofErr w:type="gramStart"/>
      <w:r w:rsidR="008A4AD6">
        <w:rPr>
          <w:rStyle w:val="Emphasis"/>
          <w:rFonts w:ascii="Times New Roman" w:hAnsi="Times New Roman" w:cs="Times New Roman"/>
          <w:i w:val="0"/>
          <w:sz w:val="26"/>
          <w:szCs w:val="26"/>
        </w:rPr>
        <w:t>,23</w:t>
      </w:r>
      <w:proofErr w:type="gramEnd"/>
      <w:r>
        <w:rPr>
          <w:rStyle w:val="Emphasis"/>
          <w:rFonts w:ascii="Times New Roman" w:hAnsi="Times New Roman" w:cs="Times New Roman"/>
          <w:i w:val="0"/>
          <w:sz w:val="26"/>
          <w:szCs w:val="26"/>
        </w:rPr>
        <w:t xml:space="preserve"> tỷ tấ</w:t>
      </w:r>
      <w:r w:rsidR="008A4AD6">
        <w:rPr>
          <w:rStyle w:val="Emphasis"/>
          <w:rFonts w:ascii="Times New Roman" w:hAnsi="Times New Roman" w:cs="Times New Roman"/>
          <w:i w:val="0"/>
          <w:sz w:val="26"/>
          <w:szCs w:val="26"/>
        </w:rPr>
        <w:t>n, tăng 8,6</w:t>
      </w:r>
      <w:r>
        <w:rPr>
          <w:rStyle w:val="Emphasis"/>
          <w:rFonts w:ascii="Times New Roman" w:hAnsi="Times New Roman" w:cs="Times New Roman"/>
          <w:i w:val="0"/>
          <w:sz w:val="26"/>
          <w:szCs w:val="26"/>
        </w:rPr>
        <w:t>% so với cùng kỳ</w:t>
      </w:r>
      <w:r w:rsidR="00BE6124">
        <w:rPr>
          <w:rStyle w:val="Emphasis"/>
          <w:rFonts w:ascii="Times New Roman" w:hAnsi="Times New Roman" w:cs="Times New Roman"/>
          <w:i w:val="0"/>
          <w:sz w:val="26"/>
          <w:szCs w:val="26"/>
        </w:rPr>
        <w:t xml:space="preserve"> năm 2018. </w:t>
      </w:r>
    </w:p>
    <w:p w:rsidR="0064258B" w:rsidRDefault="00243473" w:rsidP="00140B88">
      <w:pPr>
        <w:spacing w:before="120" w:after="120" w:line="240" w:lineRule="auto"/>
        <w:ind w:firstLine="720"/>
        <w:jc w:val="center"/>
        <w:rPr>
          <w:rFonts w:ascii="Times New Roman" w:hAnsi="Times New Roman" w:cs="Times New Roman"/>
          <w:b/>
          <w:bCs/>
          <w:sz w:val="26"/>
          <w:szCs w:val="26"/>
        </w:rPr>
      </w:pPr>
      <w:bookmarkStart w:id="16" w:name="_Toc10017965"/>
      <w:r w:rsidRPr="00105E9D">
        <w:rPr>
          <w:rFonts w:ascii="Times New Roman" w:hAnsi="Times New Roman" w:cs="Times New Roman"/>
          <w:b/>
          <w:sz w:val="26"/>
          <w:szCs w:val="26"/>
        </w:rPr>
        <w:lastRenderedPageBreak/>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F24132">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6"/>
    </w:p>
    <w:p w:rsidR="0000753E" w:rsidRDefault="00243473" w:rsidP="00DF6CAB">
      <w:pPr>
        <w:pStyle w:val="ListParagraph"/>
        <w:spacing w:line="240"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4E4640" w:rsidRPr="00DF6CAB" w:rsidRDefault="004E4640" w:rsidP="00DF6CAB">
      <w:pPr>
        <w:pStyle w:val="ListParagraph"/>
        <w:spacing w:line="240" w:lineRule="auto"/>
        <w:jc w:val="center"/>
        <w:rPr>
          <w:rStyle w:val="Emphasis"/>
          <w:rFonts w:ascii="Times New Roman" w:hAnsi="Times New Roman" w:cs="Times New Roman"/>
          <w:b/>
          <w:bCs/>
          <w:i w:val="0"/>
          <w:iCs w:val="0"/>
          <w:sz w:val="26"/>
          <w:szCs w:val="26"/>
        </w:rPr>
      </w:pPr>
    </w:p>
    <w:p w:rsidR="003243B3" w:rsidRDefault="008A4AD6" w:rsidP="005A19B4">
      <w:pPr>
        <w:pStyle w:val="ListParagraph"/>
        <w:spacing w:line="312" w:lineRule="auto"/>
        <w:rPr>
          <w:rStyle w:val="Emphasis"/>
          <w:rFonts w:ascii="Times New Roman" w:hAnsi="Times New Roman" w:cs="Times New Roman"/>
          <w:sz w:val="26"/>
          <w:szCs w:val="26"/>
        </w:rPr>
      </w:pPr>
      <w:r>
        <w:rPr>
          <w:noProof/>
        </w:rPr>
        <w:drawing>
          <wp:inline distT="0" distB="0" distL="0" distR="0" wp14:anchorId="1F8CB686" wp14:editId="7442ED92">
            <wp:extent cx="4572000" cy="2841625"/>
            <wp:effectExtent l="0" t="0" r="1905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630374"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Quốc</w:t>
      </w:r>
    </w:p>
    <w:p w:rsidR="00952574" w:rsidRPr="00952574" w:rsidRDefault="00952574" w:rsidP="00952574">
      <w:pPr>
        <w:spacing w:line="312" w:lineRule="auto"/>
        <w:ind w:firstLine="720"/>
        <w:jc w:val="both"/>
        <w:rPr>
          <w:rFonts w:ascii="Times New Roman" w:hAnsi="Times New Roman" w:cs="Times New Roman"/>
          <w:iCs/>
          <w:sz w:val="26"/>
          <w:szCs w:val="26"/>
        </w:rPr>
      </w:pPr>
      <w:r w:rsidRPr="00952574">
        <w:rPr>
          <w:rFonts w:ascii="Times New Roman" w:hAnsi="Times New Roman" w:cs="Times New Roman"/>
          <w:iCs/>
          <w:sz w:val="26"/>
          <w:szCs w:val="26"/>
        </w:rPr>
        <w:t xml:space="preserve"> </w:t>
      </w:r>
      <w:r>
        <w:rPr>
          <w:rFonts w:ascii="Times New Roman" w:hAnsi="Times New Roman" w:cs="Times New Roman"/>
          <w:iCs/>
          <w:sz w:val="26"/>
          <w:szCs w:val="26"/>
        </w:rPr>
        <w:t>T</w:t>
      </w:r>
      <w:r w:rsidRPr="00952574">
        <w:rPr>
          <w:rFonts w:ascii="Times New Roman" w:hAnsi="Times New Roman" w:cs="Times New Roman"/>
          <w:iCs/>
          <w:sz w:val="26"/>
          <w:szCs w:val="26"/>
        </w:rPr>
        <w:t>heo một báo cáo được công bố bởi Sàn giao dịch vận tải Thượng Hả</w:t>
      </w:r>
      <w:r>
        <w:rPr>
          <w:rFonts w:ascii="Times New Roman" w:hAnsi="Times New Roman" w:cs="Times New Roman"/>
          <w:iCs/>
          <w:sz w:val="26"/>
          <w:szCs w:val="26"/>
        </w:rPr>
        <w:t>i, v</w:t>
      </w:r>
      <w:r w:rsidRPr="00952574">
        <w:rPr>
          <w:rFonts w:ascii="Times New Roman" w:hAnsi="Times New Roman" w:cs="Times New Roman"/>
          <w:iCs/>
          <w:sz w:val="26"/>
          <w:szCs w:val="26"/>
        </w:rPr>
        <w:t>ận chuyển container</w:t>
      </w:r>
      <w:r>
        <w:rPr>
          <w:rFonts w:ascii="Times New Roman" w:hAnsi="Times New Roman" w:cs="Times New Roman"/>
          <w:iCs/>
          <w:sz w:val="26"/>
          <w:szCs w:val="26"/>
        </w:rPr>
        <w:t xml:space="preserve"> đường biển</w:t>
      </w:r>
      <w:r w:rsidRPr="00952574">
        <w:rPr>
          <w:rFonts w:ascii="Times New Roman" w:hAnsi="Times New Roman" w:cs="Times New Roman"/>
          <w:iCs/>
          <w:sz w:val="26"/>
          <w:szCs w:val="26"/>
        </w:rPr>
        <w:t xml:space="preserve"> của Trung Quốc cho mục đích xuất khẩu tiếp tục </w:t>
      </w:r>
      <w:r>
        <w:rPr>
          <w:rFonts w:ascii="Times New Roman" w:hAnsi="Times New Roman" w:cs="Times New Roman"/>
          <w:iCs/>
          <w:sz w:val="26"/>
          <w:szCs w:val="26"/>
        </w:rPr>
        <w:t>giảm trong tháng 4/2019</w:t>
      </w:r>
      <w:r w:rsidRPr="00952574">
        <w:rPr>
          <w:rFonts w:ascii="Times New Roman" w:hAnsi="Times New Roman" w:cs="Times New Roman"/>
          <w:iCs/>
          <w:sz w:val="26"/>
          <w:szCs w:val="26"/>
        </w:rPr>
        <w:t xml:space="preserve"> do nhu cầu yếu</w:t>
      </w:r>
      <w:r>
        <w:rPr>
          <w:rFonts w:ascii="Times New Roman" w:hAnsi="Times New Roman" w:cs="Times New Roman"/>
          <w:iCs/>
          <w:sz w:val="26"/>
          <w:szCs w:val="26"/>
        </w:rPr>
        <w:t xml:space="preserve">. </w:t>
      </w:r>
      <w:r w:rsidRPr="00952574">
        <w:rPr>
          <w:rFonts w:ascii="Times New Roman" w:hAnsi="Times New Roman" w:cs="Times New Roman"/>
          <w:iCs/>
          <w:sz w:val="26"/>
          <w:szCs w:val="26"/>
        </w:rPr>
        <w:t>Chỉ số vận chuyển hàng hóa container Trung Quốc (CCFI) trung bình đạt 799</w:t>
      </w:r>
      <w:proofErr w:type="gramStart"/>
      <w:r w:rsidRPr="00952574">
        <w:rPr>
          <w:rFonts w:ascii="Times New Roman" w:hAnsi="Times New Roman" w:cs="Times New Roman"/>
          <w:iCs/>
          <w:sz w:val="26"/>
          <w:szCs w:val="26"/>
        </w:rPr>
        <w:t>,65</w:t>
      </w:r>
      <w:proofErr w:type="gramEnd"/>
      <w:r w:rsidRPr="00952574">
        <w:rPr>
          <w:rFonts w:ascii="Times New Roman" w:hAnsi="Times New Roman" w:cs="Times New Roman"/>
          <w:iCs/>
          <w:sz w:val="26"/>
          <w:szCs w:val="26"/>
        </w:rPr>
        <w:t xml:space="preserve"> trong tháng 4</w:t>
      </w:r>
      <w:r>
        <w:rPr>
          <w:rFonts w:ascii="Times New Roman" w:hAnsi="Times New Roman" w:cs="Times New Roman"/>
          <w:iCs/>
          <w:sz w:val="26"/>
          <w:szCs w:val="26"/>
        </w:rPr>
        <w:t>/2019</w:t>
      </w:r>
      <w:r w:rsidRPr="00952574">
        <w:rPr>
          <w:rFonts w:ascii="Times New Roman" w:hAnsi="Times New Roman" w:cs="Times New Roman"/>
          <w:iCs/>
          <w:sz w:val="26"/>
          <w:szCs w:val="26"/>
        </w:rPr>
        <w:t>, giảm 3,8% so với tháng trướ</w:t>
      </w:r>
      <w:r>
        <w:rPr>
          <w:rFonts w:ascii="Times New Roman" w:hAnsi="Times New Roman" w:cs="Times New Roman"/>
          <w:iCs/>
          <w:sz w:val="26"/>
          <w:szCs w:val="26"/>
        </w:rPr>
        <w:t>c. Tuy nhiên, mức giảm này thấp hơn so với mức giảm 6</w:t>
      </w:r>
      <w:proofErr w:type="gramStart"/>
      <w:r>
        <w:rPr>
          <w:rFonts w:ascii="Times New Roman" w:hAnsi="Times New Roman" w:cs="Times New Roman"/>
          <w:iCs/>
          <w:sz w:val="26"/>
          <w:szCs w:val="26"/>
        </w:rPr>
        <w:t>,3</w:t>
      </w:r>
      <w:proofErr w:type="gramEnd"/>
      <w:r>
        <w:rPr>
          <w:rFonts w:ascii="Times New Roman" w:hAnsi="Times New Roman" w:cs="Times New Roman"/>
          <w:iCs/>
          <w:sz w:val="26"/>
          <w:szCs w:val="26"/>
        </w:rPr>
        <w:t>% trong tháng 3/2019.</w:t>
      </w:r>
    </w:p>
    <w:p w:rsidR="00952574" w:rsidRPr="00952574" w:rsidRDefault="00952574" w:rsidP="00952574">
      <w:pPr>
        <w:spacing w:line="312" w:lineRule="auto"/>
        <w:ind w:firstLine="720"/>
        <w:jc w:val="both"/>
        <w:rPr>
          <w:rFonts w:ascii="Times New Roman" w:hAnsi="Times New Roman" w:cs="Times New Roman"/>
          <w:iCs/>
          <w:sz w:val="26"/>
          <w:szCs w:val="26"/>
        </w:rPr>
      </w:pPr>
      <w:r>
        <w:rPr>
          <w:rFonts w:ascii="Times New Roman" w:hAnsi="Times New Roman" w:cs="Times New Roman"/>
          <w:iCs/>
          <w:sz w:val="26"/>
          <w:szCs w:val="26"/>
        </w:rPr>
        <w:t>Tính chung</w:t>
      </w:r>
      <w:r w:rsidRPr="00952574">
        <w:rPr>
          <w:rFonts w:ascii="Times New Roman" w:hAnsi="Times New Roman" w:cs="Times New Roman"/>
          <w:iCs/>
          <w:sz w:val="26"/>
          <w:szCs w:val="26"/>
        </w:rPr>
        <w:t xml:space="preserve"> bốn tháng đầu năm 2019, chỉ số </w:t>
      </w:r>
      <w:r w:rsidR="002A65E7">
        <w:rPr>
          <w:rFonts w:ascii="Times New Roman" w:hAnsi="Times New Roman" w:cs="Times New Roman"/>
          <w:iCs/>
          <w:sz w:val="26"/>
          <w:szCs w:val="26"/>
        </w:rPr>
        <w:t xml:space="preserve">CCFI </w:t>
      </w:r>
      <w:r w:rsidRPr="00952574">
        <w:rPr>
          <w:rFonts w:ascii="Times New Roman" w:hAnsi="Times New Roman" w:cs="Times New Roman"/>
          <w:iCs/>
          <w:sz w:val="26"/>
          <w:szCs w:val="26"/>
        </w:rPr>
        <w:t xml:space="preserve">trung bình </w:t>
      </w:r>
      <w:r w:rsidR="002A65E7">
        <w:rPr>
          <w:rFonts w:ascii="Times New Roman" w:hAnsi="Times New Roman" w:cs="Times New Roman"/>
          <w:iCs/>
          <w:sz w:val="26"/>
          <w:szCs w:val="26"/>
        </w:rPr>
        <w:t xml:space="preserve">đạt </w:t>
      </w:r>
      <w:r w:rsidRPr="00952574">
        <w:rPr>
          <w:rFonts w:ascii="Times New Roman" w:hAnsi="Times New Roman" w:cs="Times New Roman"/>
          <w:iCs/>
          <w:sz w:val="26"/>
          <w:szCs w:val="26"/>
        </w:rPr>
        <w:t>839</w:t>
      </w:r>
      <w:proofErr w:type="gramStart"/>
      <w:r w:rsidRPr="00952574">
        <w:rPr>
          <w:rFonts w:ascii="Times New Roman" w:hAnsi="Times New Roman" w:cs="Times New Roman"/>
          <w:iCs/>
          <w:sz w:val="26"/>
          <w:szCs w:val="26"/>
        </w:rPr>
        <w:t>,88</w:t>
      </w:r>
      <w:proofErr w:type="gramEnd"/>
      <w:r w:rsidRPr="00952574">
        <w:rPr>
          <w:rFonts w:ascii="Times New Roman" w:hAnsi="Times New Roman" w:cs="Times New Roman"/>
          <w:iCs/>
          <w:sz w:val="26"/>
          <w:szCs w:val="26"/>
        </w:rPr>
        <w:t>, tăng từ mức</w:t>
      </w:r>
      <w:r w:rsidR="002A65E7">
        <w:rPr>
          <w:rFonts w:ascii="Times New Roman" w:hAnsi="Times New Roman" w:cs="Times New Roman"/>
          <w:iCs/>
          <w:sz w:val="26"/>
          <w:szCs w:val="26"/>
        </w:rPr>
        <w:t xml:space="preserve"> trung bình 817,8 của cả</w:t>
      </w:r>
      <w:r>
        <w:rPr>
          <w:rFonts w:ascii="Times New Roman" w:hAnsi="Times New Roman" w:cs="Times New Roman"/>
          <w:iCs/>
          <w:sz w:val="26"/>
          <w:szCs w:val="26"/>
        </w:rPr>
        <w:t xml:space="preserve"> năm 2018.</w:t>
      </w:r>
    </w:p>
    <w:p w:rsidR="00952574" w:rsidRPr="00952574" w:rsidRDefault="00952574" w:rsidP="002A65E7">
      <w:pPr>
        <w:spacing w:line="312" w:lineRule="auto"/>
        <w:ind w:firstLine="720"/>
        <w:jc w:val="both"/>
        <w:rPr>
          <w:rFonts w:ascii="Times New Roman" w:hAnsi="Times New Roman" w:cs="Times New Roman"/>
          <w:iCs/>
          <w:sz w:val="26"/>
          <w:szCs w:val="26"/>
        </w:rPr>
      </w:pPr>
      <w:proofErr w:type="gramStart"/>
      <w:r w:rsidRPr="00952574">
        <w:rPr>
          <w:rFonts w:ascii="Times New Roman" w:hAnsi="Times New Roman" w:cs="Times New Roman"/>
          <w:iCs/>
          <w:sz w:val="26"/>
          <w:szCs w:val="26"/>
        </w:rPr>
        <w:t>Các chỉ số phụ cho hầu hết các tuyế</w:t>
      </w:r>
      <w:r>
        <w:rPr>
          <w:rFonts w:ascii="Times New Roman" w:hAnsi="Times New Roman" w:cs="Times New Roman"/>
          <w:iCs/>
          <w:sz w:val="26"/>
          <w:szCs w:val="26"/>
        </w:rPr>
        <w:t>n vận chuyển</w:t>
      </w:r>
      <w:r w:rsidRPr="00952574">
        <w:rPr>
          <w:rFonts w:ascii="Times New Roman" w:hAnsi="Times New Roman" w:cs="Times New Roman"/>
          <w:iCs/>
          <w:sz w:val="26"/>
          <w:szCs w:val="26"/>
        </w:rPr>
        <w:t xml:space="preserve"> đã giả</w:t>
      </w:r>
      <w:r>
        <w:rPr>
          <w:rFonts w:ascii="Times New Roman" w:hAnsi="Times New Roman" w:cs="Times New Roman"/>
          <w:iCs/>
          <w:sz w:val="26"/>
          <w:szCs w:val="26"/>
        </w:rPr>
        <w:t>m trong tháng 4/2019</w:t>
      </w:r>
      <w:r w:rsidRPr="00952574">
        <w:rPr>
          <w:rFonts w:ascii="Times New Roman" w:hAnsi="Times New Roman" w:cs="Times New Roman"/>
          <w:iCs/>
          <w:sz w:val="26"/>
          <w:szCs w:val="26"/>
        </w:rPr>
        <w:t xml:space="preserve">, </w:t>
      </w:r>
      <w:r>
        <w:rPr>
          <w:rFonts w:ascii="Times New Roman" w:hAnsi="Times New Roman" w:cs="Times New Roman"/>
          <w:iCs/>
          <w:sz w:val="26"/>
          <w:szCs w:val="26"/>
        </w:rPr>
        <w:t>trong đó tuyến Trung Quốc-</w:t>
      </w:r>
      <w:r w:rsidRPr="00952574">
        <w:rPr>
          <w:rFonts w:ascii="Times New Roman" w:hAnsi="Times New Roman" w:cs="Times New Roman"/>
          <w:iCs/>
          <w:sz w:val="26"/>
          <w:szCs w:val="26"/>
        </w:rPr>
        <w:t xml:space="preserve"> Nam Phi giảm lớn nhấ</w:t>
      </w:r>
      <w:r w:rsidR="002A65E7">
        <w:rPr>
          <w:rFonts w:ascii="Times New Roman" w:hAnsi="Times New Roman" w:cs="Times New Roman"/>
          <w:iCs/>
          <w:sz w:val="26"/>
          <w:szCs w:val="26"/>
        </w:rPr>
        <w:t>t (</w:t>
      </w:r>
      <w:r w:rsidRPr="00952574">
        <w:rPr>
          <w:rFonts w:ascii="Times New Roman" w:hAnsi="Times New Roman" w:cs="Times New Roman"/>
          <w:iCs/>
          <w:sz w:val="26"/>
          <w:szCs w:val="26"/>
        </w:rPr>
        <w:t>9%</w:t>
      </w:r>
      <w:r w:rsidR="002A65E7">
        <w:rPr>
          <w:rFonts w:ascii="Times New Roman" w:hAnsi="Times New Roman" w:cs="Times New Roman"/>
          <w:iCs/>
          <w:sz w:val="26"/>
          <w:szCs w:val="26"/>
        </w:rPr>
        <w:t>)</w:t>
      </w:r>
      <w:r w:rsidRPr="00952574">
        <w:rPr>
          <w:rFonts w:ascii="Times New Roman" w:hAnsi="Times New Roman" w:cs="Times New Roman"/>
          <w:iCs/>
          <w:sz w:val="26"/>
          <w:szCs w:val="26"/>
        </w:rPr>
        <w:t xml:space="preserve"> so với một tháng trướ</w:t>
      </w:r>
      <w:r>
        <w:rPr>
          <w:rFonts w:ascii="Times New Roman" w:hAnsi="Times New Roman" w:cs="Times New Roman"/>
          <w:iCs/>
          <w:sz w:val="26"/>
          <w:szCs w:val="26"/>
        </w:rPr>
        <w:t>c đó.</w:t>
      </w:r>
      <w:proofErr w:type="gramEnd"/>
      <w:r w:rsidR="002A65E7">
        <w:rPr>
          <w:rFonts w:ascii="Times New Roman" w:hAnsi="Times New Roman" w:cs="Times New Roman"/>
          <w:iCs/>
          <w:sz w:val="26"/>
          <w:szCs w:val="26"/>
        </w:rPr>
        <w:t xml:space="preserve"> </w:t>
      </w:r>
      <w:r w:rsidRPr="00952574">
        <w:rPr>
          <w:rFonts w:ascii="Times New Roman" w:hAnsi="Times New Roman" w:cs="Times New Roman"/>
          <w:iCs/>
          <w:sz w:val="26"/>
          <w:szCs w:val="26"/>
        </w:rPr>
        <w:t>Tuyến châu Âu và tuyến Địa Trung Hải chứng kiến các chỉ số phụ lần lượt giả</w:t>
      </w:r>
      <w:r>
        <w:rPr>
          <w:rFonts w:ascii="Times New Roman" w:hAnsi="Times New Roman" w:cs="Times New Roman"/>
          <w:iCs/>
          <w:sz w:val="26"/>
          <w:szCs w:val="26"/>
        </w:rPr>
        <w:t>m 8</w:t>
      </w:r>
      <w:proofErr w:type="gramStart"/>
      <w:r>
        <w:rPr>
          <w:rFonts w:ascii="Times New Roman" w:hAnsi="Times New Roman" w:cs="Times New Roman"/>
          <w:iCs/>
          <w:sz w:val="26"/>
          <w:szCs w:val="26"/>
        </w:rPr>
        <w:t>,</w:t>
      </w:r>
      <w:r w:rsidR="002A65E7">
        <w:rPr>
          <w:rFonts w:ascii="Times New Roman" w:hAnsi="Times New Roman" w:cs="Times New Roman"/>
          <w:iCs/>
          <w:sz w:val="26"/>
          <w:szCs w:val="26"/>
        </w:rPr>
        <w:t>4</w:t>
      </w:r>
      <w:proofErr w:type="gramEnd"/>
      <w:r w:rsidR="002A65E7">
        <w:rPr>
          <w:rFonts w:ascii="Times New Roman" w:hAnsi="Times New Roman" w:cs="Times New Roman"/>
          <w:iCs/>
          <w:sz w:val="26"/>
          <w:szCs w:val="26"/>
        </w:rPr>
        <w:t>% và 7,4%.</w:t>
      </w:r>
    </w:p>
    <w:p w:rsidR="00140B88" w:rsidRPr="00140B88" w:rsidRDefault="00952574" w:rsidP="00952574">
      <w:pPr>
        <w:spacing w:line="312" w:lineRule="auto"/>
        <w:ind w:firstLine="720"/>
        <w:jc w:val="both"/>
        <w:rPr>
          <w:rStyle w:val="Emphasis"/>
          <w:rFonts w:ascii="Times New Roman" w:hAnsi="Times New Roman" w:cs="Times New Roman"/>
          <w:i w:val="0"/>
          <w:sz w:val="26"/>
          <w:szCs w:val="26"/>
        </w:rPr>
      </w:pPr>
      <w:r w:rsidRPr="00952574">
        <w:rPr>
          <w:rFonts w:ascii="Times New Roman" w:hAnsi="Times New Roman" w:cs="Times New Roman"/>
          <w:iCs/>
          <w:sz w:val="26"/>
          <w:szCs w:val="26"/>
        </w:rPr>
        <w:t>CCFI theo dõi giá cước vận chuyể</w:t>
      </w:r>
      <w:r w:rsidR="00F24132">
        <w:rPr>
          <w:rFonts w:ascii="Times New Roman" w:hAnsi="Times New Roman" w:cs="Times New Roman"/>
          <w:iCs/>
          <w:sz w:val="26"/>
          <w:szCs w:val="26"/>
        </w:rPr>
        <w:t>n</w:t>
      </w:r>
      <w:r w:rsidRPr="00952574">
        <w:rPr>
          <w:rFonts w:ascii="Times New Roman" w:hAnsi="Times New Roman" w:cs="Times New Roman"/>
          <w:iCs/>
          <w:sz w:val="26"/>
          <w:szCs w:val="26"/>
        </w:rPr>
        <w:t xml:space="preserve"> theo hợp đồng từ các cảng container của Trung Quốc cho 12 tuyến vận chuyển trên toàn cầu, dựa trên dữ liệu từ 20 hãng vận tải quốc tế</w:t>
      </w:r>
      <w:r>
        <w:rPr>
          <w:rFonts w:ascii="Times New Roman" w:hAnsi="Times New Roman" w:cs="Times New Roman"/>
          <w:iCs/>
          <w:sz w:val="26"/>
          <w:szCs w:val="26"/>
        </w:rPr>
        <w:t xml:space="preserve">. </w:t>
      </w:r>
      <w:proofErr w:type="gramStart"/>
      <w:r w:rsidRPr="00952574">
        <w:rPr>
          <w:rFonts w:ascii="Times New Roman" w:hAnsi="Times New Roman" w:cs="Times New Roman"/>
          <w:iCs/>
          <w:sz w:val="26"/>
          <w:szCs w:val="26"/>
        </w:rPr>
        <w:t>Chỉ số được đặt ở mức 1.000 vào ngày 1 tháng 1 năm 1998</w:t>
      </w:r>
      <w:r w:rsidR="00F24132">
        <w:rPr>
          <w:rFonts w:ascii="Times New Roman" w:hAnsi="Times New Roman" w:cs="Times New Roman"/>
          <w:iCs/>
          <w:sz w:val="26"/>
          <w:szCs w:val="26"/>
        </w:rPr>
        <w:t>.</w:t>
      </w:r>
      <w:proofErr w:type="gramEnd"/>
    </w:p>
    <w:p w:rsidR="00A12DDC" w:rsidRDefault="0007459B" w:rsidP="00A12DDC">
      <w:pPr>
        <w:pStyle w:val="ListParagraph"/>
        <w:numPr>
          <w:ilvl w:val="1"/>
          <w:numId w:val="1"/>
        </w:numPr>
        <w:spacing w:line="312" w:lineRule="auto"/>
        <w:outlineLvl w:val="1"/>
        <w:rPr>
          <w:rStyle w:val="Emphasis"/>
          <w:rFonts w:ascii="Times New Roman" w:hAnsi="Times New Roman" w:cs="Times New Roman"/>
          <w:b/>
          <w:sz w:val="26"/>
          <w:szCs w:val="26"/>
        </w:rPr>
      </w:pPr>
      <w:bookmarkStart w:id="17" w:name="_Toc5634790"/>
      <w:r w:rsidRPr="00AC37BB">
        <w:rPr>
          <w:rStyle w:val="Emphasis"/>
          <w:rFonts w:ascii="Times New Roman" w:hAnsi="Times New Roman" w:cs="Times New Roman"/>
          <w:b/>
          <w:sz w:val="26"/>
          <w:szCs w:val="26"/>
        </w:rPr>
        <w:lastRenderedPageBreak/>
        <w:t>Vận chuyển hàng không dân dụng:</w:t>
      </w:r>
      <w:bookmarkEnd w:id="17"/>
    </w:p>
    <w:p w:rsidR="00FD2CF3" w:rsidRDefault="005A19B4" w:rsidP="00C4128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Tháng </w:t>
      </w:r>
      <w:r w:rsidR="008A4AD6">
        <w:rPr>
          <w:rStyle w:val="Emphasis"/>
          <w:rFonts w:ascii="Times New Roman" w:hAnsi="Times New Roman" w:cs="Times New Roman"/>
          <w:i w:val="0"/>
          <w:sz w:val="26"/>
          <w:szCs w:val="26"/>
        </w:rPr>
        <w:t>4</w:t>
      </w:r>
      <w:r w:rsidR="00C30D8C">
        <w:rPr>
          <w:rStyle w:val="Emphasis"/>
          <w:rFonts w:ascii="Times New Roman" w:hAnsi="Times New Roman" w:cs="Times New Roman"/>
          <w:i w:val="0"/>
          <w:sz w:val="26"/>
          <w:szCs w:val="26"/>
        </w:rPr>
        <w:t>/2019</w:t>
      </w:r>
      <w:r w:rsidR="00327824">
        <w:rPr>
          <w:rStyle w:val="Emphasis"/>
          <w:rFonts w:ascii="Times New Roman" w:hAnsi="Times New Roman" w:cs="Times New Roman"/>
          <w:i w:val="0"/>
          <w:sz w:val="26"/>
          <w:szCs w:val="26"/>
        </w:rPr>
        <w:t xml:space="preserve">, </w:t>
      </w:r>
      <w:r w:rsidR="00A81298">
        <w:rPr>
          <w:rStyle w:val="Emphasis"/>
          <w:rFonts w:ascii="Times New Roman" w:hAnsi="Times New Roman" w:cs="Times New Roman"/>
          <w:i w:val="0"/>
          <w:sz w:val="26"/>
          <w:szCs w:val="26"/>
        </w:rPr>
        <w:t>vận chuyển hàng hóa bằng đường hàng không dân dụng của Trung</w:t>
      </w:r>
      <w:r w:rsidR="00FD2CF3">
        <w:rPr>
          <w:rStyle w:val="Emphasis"/>
          <w:rFonts w:ascii="Times New Roman" w:hAnsi="Times New Roman" w:cs="Times New Roman"/>
          <w:i w:val="0"/>
          <w:sz w:val="26"/>
          <w:szCs w:val="26"/>
        </w:rPr>
        <w:t xml:space="preserve"> Quốc</w:t>
      </w:r>
      <w:r w:rsidR="008A4AD6">
        <w:rPr>
          <w:rStyle w:val="Emphasis"/>
          <w:rFonts w:ascii="Times New Roman" w:hAnsi="Times New Roman" w:cs="Times New Roman"/>
          <w:i w:val="0"/>
          <w:sz w:val="26"/>
          <w:szCs w:val="26"/>
        </w:rPr>
        <w:t xml:space="preserve"> tiếp tục đà sụt giảm, chỉ</w:t>
      </w:r>
      <w:r w:rsidR="00A81298">
        <w:rPr>
          <w:rStyle w:val="Emphasis"/>
          <w:rFonts w:ascii="Times New Roman" w:hAnsi="Times New Roman" w:cs="Times New Roman"/>
          <w:i w:val="0"/>
          <w:sz w:val="26"/>
          <w:szCs w:val="26"/>
        </w:rPr>
        <w:t xml:space="preserve"> </w:t>
      </w:r>
      <w:r w:rsidR="00327824">
        <w:rPr>
          <w:rStyle w:val="Emphasis"/>
          <w:rFonts w:ascii="Times New Roman" w:hAnsi="Times New Roman" w:cs="Times New Roman"/>
          <w:i w:val="0"/>
          <w:sz w:val="26"/>
          <w:szCs w:val="26"/>
        </w:rPr>
        <w:t>đạ</w:t>
      </w:r>
      <w:r w:rsidR="00767AB0">
        <w:rPr>
          <w:rStyle w:val="Emphasis"/>
          <w:rFonts w:ascii="Times New Roman" w:hAnsi="Times New Roman" w:cs="Times New Roman"/>
          <w:i w:val="0"/>
          <w:sz w:val="26"/>
          <w:szCs w:val="26"/>
        </w:rPr>
        <w:t xml:space="preserve">t </w:t>
      </w:r>
      <w:r w:rsidR="00776375">
        <w:rPr>
          <w:rStyle w:val="Emphasis"/>
          <w:rFonts w:ascii="Times New Roman" w:hAnsi="Times New Roman" w:cs="Times New Roman"/>
          <w:i w:val="0"/>
          <w:sz w:val="26"/>
          <w:szCs w:val="26"/>
        </w:rPr>
        <w:t>600</w:t>
      </w:r>
      <w:r w:rsidR="00767AB0">
        <w:rPr>
          <w:rStyle w:val="Emphasis"/>
          <w:rFonts w:ascii="Times New Roman" w:hAnsi="Times New Roman" w:cs="Times New Roman"/>
          <w:i w:val="0"/>
          <w:sz w:val="26"/>
          <w:szCs w:val="26"/>
        </w:rPr>
        <w:t xml:space="preserve"> nghìn tấ</w:t>
      </w:r>
      <w:r>
        <w:rPr>
          <w:rStyle w:val="Emphasis"/>
          <w:rFonts w:ascii="Times New Roman" w:hAnsi="Times New Roman" w:cs="Times New Roman"/>
          <w:i w:val="0"/>
          <w:sz w:val="26"/>
          <w:szCs w:val="26"/>
        </w:rPr>
        <w:t xml:space="preserve">n, </w:t>
      </w:r>
      <w:r w:rsidR="00776375">
        <w:rPr>
          <w:rStyle w:val="Emphasis"/>
          <w:rFonts w:ascii="Times New Roman" w:hAnsi="Times New Roman" w:cs="Times New Roman"/>
          <w:i w:val="0"/>
          <w:sz w:val="26"/>
          <w:szCs w:val="26"/>
        </w:rPr>
        <w:t>giảm 5% so với tháng trước và giảm 0,7% so với cùng kỳ năm trước</w:t>
      </w:r>
      <w:r>
        <w:rPr>
          <w:rStyle w:val="Emphasis"/>
          <w:rFonts w:ascii="Times New Roman" w:hAnsi="Times New Roman" w:cs="Times New Roman"/>
          <w:i w:val="0"/>
          <w:sz w:val="26"/>
          <w:szCs w:val="26"/>
        </w:rPr>
        <w:t xml:space="preserve">. </w:t>
      </w:r>
    </w:p>
    <w:p w:rsidR="00FD2CF3" w:rsidRPr="00FD2CF3" w:rsidRDefault="005A19B4" w:rsidP="00B9384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Như vậy, trong </w:t>
      </w:r>
      <w:r w:rsidR="00776375">
        <w:rPr>
          <w:rStyle w:val="Emphasis"/>
          <w:rFonts w:ascii="Times New Roman" w:hAnsi="Times New Roman" w:cs="Times New Roman"/>
          <w:i w:val="0"/>
          <w:sz w:val="26"/>
          <w:szCs w:val="26"/>
        </w:rPr>
        <w:t xml:space="preserve">4 tháng </w:t>
      </w:r>
      <w:r>
        <w:rPr>
          <w:rStyle w:val="Emphasis"/>
          <w:rFonts w:ascii="Times New Roman" w:hAnsi="Times New Roman" w:cs="Times New Roman"/>
          <w:i w:val="0"/>
          <w:sz w:val="26"/>
          <w:szCs w:val="26"/>
        </w:rPr>
        <w:t xml:space="preserve">đầu năm 2019, hàng không dân dụng </w:t>
      </w:r>
      <w:r w:rsidR="00776375">
        <w:rPr>
          <w:rStyle w:val="Emphasis"/>
          <w:rFonts w:ascii="Times New Roman" w:hAnsi="Times New Roman" w:cs="Times New Roman"/>
          <w:i w:val="0"/>
          <w:sz w:val="26"/>
          <w:szCs w:val="26"/>
        </w:rPr>
        <w:t>chuyên chở 2</w:t>
      </w:r>
      <w:proofErr w:type="gramStart"/>
      <w:r w:rsidR="00776375">
        <w:rPr>
          <w:rStyle w:val="Emphasis"/>
          <w:rFonts w:ascii="Times New Roman" w:hAnsi="Times New Roman" w:cs="Times New Roman"/>
          <w:i w:val="0"/>
          <w:sz w:val="26"/>
          <w:szCs w:val="26"/>
        </w:rPr>
        <w:t>,28</w:t>
      </w:r>
      <w:proofErr w:type="gramEnd"/>
      <w:r w:rsidR="00B93841">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triệu tấn hàng hóa, giả</w:t>
      </w:r>
      <w:r w:rsidR="00776375">
        <w:rPr>
          <w:rStyle w:val="Emphasis"/>
          <w:rFonts w:ascii="Times New Roman" w:hAnsi="Times New Roman" w:cs="Times New Roman"/>
          <w:i w:val="0"/>
          <w:sz w:val="26"/>
          <w:szCs w:val="26"/>
        </w:rPr>
        <w:t>m 1,6</w:t>
      </w:r>
      <w:r>
        <w:rPr>
          <w:rStyle w:val="Emphasis"/>
          <w:rFonts w:ascii="Times New Roman" w:hAnsi="Times New Roman" w:cs="Times New Roman"/>
          <w:i w:val="0"/>
          <w:sz w:val="26"/>
          <w:szCs w:val="26"/>
        </w:rPr>
        <w:t>% so với cùng kỳ năm 2018.</w:t>
      </w:r>
    </w:p>
    <w:p w:rsidR="00B93841" w:rsidRPr="00B93841" w:rsidRDefault="00606F25" w:rsidP="00B93841">
      <w:pPr>
        <w:spacing w:line="312" w:lineRule="auto"/>
        <w:ind w:firstLine="720"/>
        <w:jc w:val="center"/>
        <w:rPr>
          <w:rStyle w:val="Emphasis"/>
          <w:rFonts w:ascii="Times New Roman" w:hAnsi="Times New Roman" w:cs="Times New Roman"/>
          <w:b/>
          <w:bCs/>
          <w:i w:val="0"/>
          <w:iCs w:val="0"/>
          <w:sz w:val="26"/>
          <w:szCs w:val="26"/>
        </w:rPr>
      </w:pPr>
      <w:bookmarkStart w:id="18" w:name="_Toc10017966"/>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A964EA">
        <w:rPr>
          <w:rFonts w:ascii="Times New Roman" w:hAnsi="Times New Roman" w:cs="Times New Roman"/>
          <w:b/>
          <w:noProof/>
          <w:sz w:val="26"/>
          <w:szCs w:val="26"/>
        </w:rPr>
        <w:t>8</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8"/>
    </w:p>
    <w:p w:rsidR="00630F2E" w:rsidRDefault="00635549" w:rsidP="00B93841">
      <w:pPr>
        <w:pStyle w:val="ListParagraph"/>
        <w:spacing w:line="312" w:lineRule="auto"/>
        <w:jc w:val="center"/>
        <w:rPr>
          <w:rStyle w:val="Emphasis"/>
          <w:rFonts w:ascii="Times New Roman" w:hAnsi="Times New Roman" w:cs="Times New Roman"/>
          <w:i w:val="0"/>
          <w:sz w:val="26"/>
          <w:szCs w:val="26"/>
        </w:rPr>
      </w:pPr>
      <w:r>
        <w:rPr>
          <w:noProof/>
        </w:rPr>
        <w:drawing>
          <wp:inline distT="0" distB="0" distL="0" distR="0" wp14:anchorId="46A0F166" wp14:editId="2759BD88">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A81298" w:rsidRPr="00105E9D">
        <w:rPr>
          <w:rStyle w:val="Emphasis"/>
          <w:rFonts w:ascii="Times New Roman" w:hAnsi="Times New Roman" w:cs="Times New Roman"/>
          <w:sz w:val="26"/>
          <w:szCs w:val="26"/>
        </w:rPr>
        <w:t xml:space="preserve"> </w:t>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6415B7" w:rsidRDefault="002B6CA9" w:rsidP="002B6CA9">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Vận chuyển hàng khóa bằng hàng không của Trung Quốc sụt giảm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xu hướng chung của khu vực. </w:t>
      </w:r>
      <w:r w:rsidR="00654EC6">
        <w:rPr>
          <w:rStyle w:val="Emphasis"/>
          <w:rFonts w:ascii="Times New Roman" w:hAnsi="Times New Roman" w:cs="Times New Roman"/>
          <w:i w:val="0"/>
          <w:sz w:val="26"/>
          <w:szCs w:val="26"/>
        </w:rPr>
        <w:t>T</w:t>
      </w:r>
      <w:r w:rsidR="00654EC6" w:rsidRPr="00654EC6">
        <w:rPr>
          <w:rStyle w:val="Emphasis"/>
          <w:rFonts w:ascii="Times New Roman" w:hAnsi="Times New Roman" w:cs="Times New Roman"/>
          <w:i w:val="0"/>
          <w:sz w:val="26"/>
          <w:szCs w:val="26"/>
        </w:rPr>
        <w:t>háng 4 năm 2019</w:t>
      </w:r>
      <w:r w:rsidR="00654EC6">
        <w:rPr>
          <w:rStyle w:val="Emphasis"/>
          <w:rFonts w:ascii="Times New Roman" w:hAnsi="Times New Roman" w:cs="Times New Roman"/>
          <w:i w:val="0"/>
          <w:sz w:val="26"/>
          <w:szCs w:val="26"/>
        </w:rPr>
        <w:t>, k</w:t>
      </w:r>
      <w:r w:rsidR="00654EC6" w:rsidRPr="00654EC6">
        <w:rPr>
          <w:rStyle w:val="Emphasis"/>
          <w:rFonts w:ascii="Times New Roman" w:hAnsi="Times New Roman" w:cs="Times New Roman"/>
          <w:i w:val="0"/>
          <w:sz w:val="26"/>
          <w:szCs w:val="26"/>
        </w:rPr>
        <w:t>hối lượ</w:t>
      </w:r>
      <w:r w:rsidR="00654EC6">
        <w:rPr>
          <w:rStyle w:val="Emphasis"/>
          <w:rFonts w:ascii="Times New Roman" w:hAnsi="Times New Roman" w:cs="Times New Roman"/>
          <w:i w:val="0"/>
          <w:sz w:val="26"/>
          <w:szCs w:val="26"/>
        </w:rPr>
        <w:t xml:space="preserve">ng hàng hóa hàng không </w:t>
      </w:r>
      <w:r w:rsidR="006415B7">
        <w:rPr>
          <w:rStyle w:val="Emphasis"/>
          <w:rFonts w:ascii="Times New Roman" w:hAnsi="Times New Roman" w:cs="Times New Roman"/>
          <w:i w:val="0"/>
          <w:sz w:val="26"/>
          <w:szCs w:val="26"/>
        </w:rPr>
        <w:t>tuyến châu Á-Thái Bình Dương</w:t>
      </w:r>
      <w:r w:rsidR="00654EC6" w:rsidRPr="00654EC6">
        <w:rPr>
          <w:rStyle w:val="Emphasis"/>
          <w:rFonts w:ascii="Times New Roman" w:hAnsi="Times New Roman" w:cs="Times New Roman"/>
          <w:i w:val="0"/>
          <w:sz w:val="26"/>
          <w:szCs w:val="26"/>
        </w:rPr>
        <w:t xml:space="preserve"> giảm 9,1% so với cùng kỳ</w:t>
      </w:r>
      <w:r w:rsidR="006415B7">
        <w:rPr>
          <w:rStyle w:val="Emphasis"/>
          <w:rFonts w:ascii="Times New Roman" w:hAnsi="Times New Roman" w:cs="Times New Roman"/>
          <w:i w:val="0"/>
          <w:sz w:val="26"/>
          <w:szCs w:val="26"/>
        </w:rPr>
        <w:t xml:space="preserve"> năm ngoái</w:t>
      </w:r>
      <w:r w:rsidR="00654EC6" w:rsidRPr="00654EC6">
        <w:rPr>
          <w:rStyle w:val="Emphasis"/>
          <w:rFonts w:ascii="Times New Roman" w:hAnsi="Times New Roman" w:cs="Times New Roman"/>
          <w:i w:val="0"/>
          <w:sz w:val="26"/>
          <w:szCs w:val="26"/>
        </w:rPr>
        <w:t xml:space="preserve">, </w:t>
      </w:r>
      <w:r w:rsidR="00654EC6">
        <w:rPr>
          <w:rStyle w:val="Emphasis"/>
          <w:rFonts w:ascii="Times New Roman" w:hAnsi="Times New Roman" w:cs="Times New Roman"/>
          <w:i w:val="0"/>
          <w:sz w:val="26"/>
          <w:szCs w:val="26"/>
        </w:rPr>
        <w:t xml:space="preserve">do </w:t>
      </w:r>
      <w:r w:rsidR="00654EC6" w:rsidRPr="00654EC6">
        <w:rPr>
          <w:rStyle w:val="Emphasis"/>
          <w:rFonts w:ascii="Times New Roman" w:hAnsi="Times New Roman" w:cs="Times New Roman"/>
          <w:i w:val="0"/>
          <w:sz w:val="26"/>
          <w:szCs w:val="26"/>
        </w:rPr>
        <w:t>sự gián đoạn đối với chuỗi cung ứng toàn cầu trong bối cảnh căng thẳng thương mại gia tăng, đặc biệt là giữa Hoa Kỳ và Trung Quố</w:t>
      </w:r>
      <w:r w:rsidR="00654EC6">
        <w:rPr>
          <w:rStyle w:val="Emphasis"/>
          <w:rFonts w:ascii="Times New Roman" w:hAnsi="Times New Roman" w:cs="Times New Roman"/>
          <w:i w:val="0"/>
          <w:sz w:val="26"/>
          <w:szCs w:val="26"/>
        </w:rPr>
        <w:t>c</w:t>
      </w:r>
      <w:r w:rsidR="00654EC6" w:rsidRPr="00654EC6">
        <w:rPr>
          <w:rStyle w:val="Emphasis"/>
          <w:rFonts w:ascii="Times New Roman" w:hAnsi="Times New Roman" w:cs="Times New Roman"/>
          <w:i w:val="0"/>
          <w:sz w:val="26"/>
          <w:szCs w:val="26"/>
        </w:rPr>
        <w:t xml:space="preserve">. </w:t>
      </w:r>
    </w:p>
    <w:p w:rsidR="00654EC6" w:rsidRDefault="00654EC6" w:rsidP="002B6CA9">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Hiệp hội hàng không dân dụng quốc tế (AAPA) cho biết </w:t>
      </w:r>
      <w:r w:rsidR="006415B7">
        <w:rPr>
          <w:rStyle w:val="Emphasis"/>
          <w:rFonts w:ascii="Times New Roman" w:hAnsi="Times New Roman" w:cs="Times New Roman"/>
          <w:i w:val="0"/>
          <w:sz w:val="26"/>
          <w:szCs w:val="26"/>
        </w:rPr>
        <w:t xml:space="preserve">đà </w:t>
      </w:r>
      <w:r w:rsidRPr="00654EC6">
        <w:rPr>
          <w:rStyle w:val="Emphasis"/>
          <w:rFonts w:ascii="Times New Roman" w:hAnsi="Times New Roman" w:cs="Times New Roman"/>
          <w:i w:val="0"/>
          <w:sz w:val="26"/>
          <w:szCs w:val="26"/>
        </w:rPr>
        <w:t xml:space="preserve">sụt giảm </w:t>
      </w:r>
      <w:r w:rsidR="006415B7">
        <w:rPr>
          <w:rStyle w:val="Emphasis"/>
          <w:rFonts w:ascii="Times New Roman" w:hAnsi="Times New Roman" w:cs="Times New Roman"/>
          <w:i w:val="0"/>
          <w:sz w:val="26"/>
          <w:szCs w:val="26"/>
        </w:rPr>
        <w:t>của</w:t>
      </w:r>
      <w:r w:rsidRPr="00654EC6">
        <w:rPr>
          <w:rStyle w:val="Emphasis"/>
          <w:rFonts w:ascii="Times New Roman" w:hAnsi="Times New Roman" w:cs="Times New Roman"/>
          <w:i w:val="0"/>
          <w:sz w:val="26"/>
          <w:szCs w:val="26"/>
        </w:rPr>
        <w:t xml:space="preserve"> các đơn hàng xuất khẩ</w:t>
      </w:r>
      <w:r w:rsidR="006415B7">
        <w:rPr>
          <w:rStyle w:val="Emphasis"/>
          <w:rFonts w:ascii="Times New Roman" w:hAnsi="Times New Roman" w:cs="Times New Roman"/>
          <w:i w:val="0"/>
          <w:sz w:val="26"/>
          <w:szCs w:val="26"/>
        </w:rPr>
        <w:t>u</w:t>
      </w:r>
      <w:r w:rsidRPr="00654EC6">
        <w:rPr>
          <w:rStyle w:val="Emphasis"/>
          <w:rFonts w:ascii="Times New Roman" w:hAnsi="Times New Roman" w:cs="Times New Roman"/>
          <w:i w:val="0"/>
          <w:sz w:val="26"/>
          <w:szCs w:val="26"/>
        </w:rPr>
        <w:t xml:space="preserve"> ảnh hưởng</w:t>
      </w:r>
      <w:r w:rsidR="006415B7">
        <w:rPr>
          <w:rStyle w:val="Emphasis"/>
          <w:rFonts w:ascii="Times New Roman" w:hAnsi="Times New Roman" w:cs="Times New Roman"/>
          <w:i w:val="0"/>
          <w:sz w:val="26"/>
          <w:szCs w:val="26"/>
        </w:rPr>
        <w:t xml:space="preserve"> trực tiếp đến </w:t>
      </w:r>
      <w:r w:rsidRPr="00654EC6">
        <w:rPr>
          <w:rStyle w:val="Emphasis"/>
          <w:rFonts w:ascii="Times New Roman" w:hAnsi="Times New Roman" w:cs="Times New Roman"/>
          <w:i w:val="0"/>
          <w:sz w:val="26"/>
          <w:szCs w:val="26"/>
        </w:rPr>
        <w:t>khối lượng vận chuyể</w:t>
      </w:r>
      <w:r>
        <w:rPr>
          <w:rStyle w:val="Emphasis"/>
          <w:rFonts w:ascii="Times New Roman" w:hAnsi="Times New Roman" w:cs="Times New Roman"/>
          <w:i w:val="0"/>
          <w:sz w:val="26"/>
          <w:szCs w:val="26"/>
        </w:rPr>
        <w:t xml:space="preserve">n hàng không. </w:t>
      </w:r>
    </w:p>
    <w:p w:rsidR="006415B7" w:rsidRDefault="00654EC6" w:rsidP="0014653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FTKs của</w:t>
      </w:r>
      <w:r w:rsidRPr="00654EC6">
        <w:rPr>
          <w:rStyle w:val="Emphasis"/>
          <w:rFonts w:ascii="Times New Roman" w:hAnsi="Times New Roman" w:cs="Times New Roman"/>
          <w:i w:val="0"/>
          <w:sz w:val="26"/>
          <w:szCs w:val="26"/>
        </w:rPr>
        <w:t xml:space="preserve"> các </w:t>
      </w:r>
      <w:r>
        <w:rPr>
          <w:rStyle w:val="Emphasis"/>
          <w:rFonts w:ascii="Times New Roman" w:hAnsi="Times New Roman" w:cs="Times New Roman"/>
          <w:i w:val="0"/>
          <w:sz w:val="26"/>
          <w:szCs w:val="26"/>
        </w:rPr>
        <w:t>hãng vận chuyển hàng không khu vực</w:t>
      </w:r>
      <w:r w:rsidRPr="00654EC6">
        <w:rPr>
          <w:rStyle w:val="Emphasis"/>
          <w:rFonts w:ascii="Times New Roman" w:hAnsi="Times New Roman" w:cs="Times New Roman"/>
          <w:i w:val="0"/>
          <w:sz w:val="26"/>
          <w:szCs w:val="26"/>
        </w:rPr>
        <w:t xml:space="preserve"> châu Á</w:t>
      </w:r>
      <w:r w:rsidR="006415B7">
        <w:rPr>
          <w:rStyle w:val="Emphasis"/>
          <w:rFonts w:ascii="Times New Roman" w:hAnsi="Times New Roman" w:cs="Times New Roman"/>
          <w:i w:val="0"/>
          <w:sz w:val="26"/>
          <w:szCs w:val="26"/>
        </w:rPr>
        <w:t>-</w:t>
      </w:r>
      <w:r w:rsidRPr="00654EC6">
        <w:rPr>
          <w:rStyle w:val="Emphasis"/>
          <w:rFonts w:ascii="Times New Roman" w:hAnsi="Times New Roman" w:cs="Times New Roman"/>
          <w:i w:val="0"/>
          <w:sz w:val="26"/>
          <w:szCs w:val="26"/>
        </w:rPr>
        <w:t xml:space="preserve">Thái Bình Dương đã giảm 3,4% so với cùng kỳ vào tháng 3 năm 2019, </w:t>
      </w:r>
      <w:r>
        <w:rPr>
          <w:rStyle w:val="Emphasis"/>
          <w:rFonts w:ascii="Times New Roman" w:hAnsi="Times New Roman" w:cs="Times New Roman"/>
          <w:i w:val="0"/>
          <w:sz w:val="26"/>
          <w:szCs w:val="26"/>
        </w:rPr>
        <w:t xml:space="preserve">sau khi </w:t>
      </w:r>
      <w:r w:rsidRPr="00654EC6">
        <w:rPr>
          <w:rStyle w:val="Emphasis"/>
          <w:rFonts w:ascii="Times New Roman" w:hAnsi="Times New Roman" w:cs="Times New Roman"/>
          <w:i w:val="0"/>
          <w:sz w:val="26"/>
          <w:szCs w:val="26"/>
        </w:rPr>
        <w:t>giả</w:t>
      </w:r>
      <w:r>
        <w:rPr>
          <w:rStyle w:val="Emphasis"/>
          <w:rFonts w:ascii="Times New Roman" w:hAnsi="Times New Roman" w:cs="Times New Roman"/>
          <w:i w:val="0"/>
          <w:sz w:val="26"/>
          <w:szCs w:val="26"/>
        </w:rPr>
        <w:t xml:space="preserve">m 4,8% trong tháng </w:t>
      </w:r>
      <w:r w:rsidR="006415B7">
        <w:rPr>
          <w:rStyle w:val="Emphasis"/>
          <w:rFonts w:ascii="Times New Roman" w:hAnsi="Times New Roman" w:cs="Times New Roman"/>
          <w:i w:val="0"/>
          <w:sz w:val="26"/>
          <w:szCs w:val="26"/>
        </w:rPr>
        <w:t>0</w:t>
      </w:r>
      <w:r>
        <w:rPr>
          <w:rStyle w:val="Emphasis"/>
          <w:rFonts w:ascii="Times New Roman" w:hAnsi="Times New Roman" w:cs="Times New Roman"/>
          <w:i w:val="0"/>
          <w:sz w:val="26"/>
          <w:szCs w:val="26"/>
        </w:rPr>
        <w:t>1/</w:t>
      </w:r>
      <w:r w:rsidRPr="00654EC6">
        <w:rPr>
          <w:rStyle w:val="Emphasis"/>
          <w:rFonts w:ascii="Times New Roman" w:hAnsi="Times New Roman" w:cs="Times New Roman"/>
          <w:i w:val="0"/>
          <w:sz w:val="26"/>
          <w:szCs w:val="26"/>
        </w:rPr>
        <w:t>2019 và giả</w:t>
      </w:r>
      <w:r>
        <w:rPr>
          <w:rStyle w:val="Emphasis"/>
          <w:rFonts w:ascii="Times New Roman" w:hAnsi="Times New Roman" w:cs="Times New Roman"/>
          <w:i w:val="0"/>
          <w:sz w:val="26"/>
          <w:szCs w:val="26"/>
        </w:rPr>
        <w:t xml:space="preserve">m 12% vào tháng </w:t>
      </w:r>
      <w:r w:rsidR="006415B7">
        <w:rPr>
          <w:rStyle w:val="Emphasis"/>
          <w:rFonts w:ascii="Times New Roman" w:hAnsi="Times New Roman" w:cs="Times New Roman"/>
          <w:i w:val="0"/>
          <w:sz w:val="26"/>
          <w:szCs w:val="26"/>
        </w:rPr>
        <w:t>0</w:t>
      </w:r>
      <w:r>
        <w:rPr>
          <w:rStyle w:val="Emphasis"/>
          <w:rFonts w:ascii="Times New Roman" w:hAnsi="Times New Roman" w:cs="Times New Roman"/>
          <w:i w:val="0"/>
          <w:sz w:val="26"/>
          <w:szCs w:val="26"/>
        </w:rPr>
        <w:t>2/</w:t>
      </w:r>
      <w:r w:rsidRPr="00654EC6">
        <w:rPr>
          <w:rStyle w:val="Emphasis"/>
          <w:rFonts w:ascii="Times New Roman" w:hAnsi="Times New Roman" w:cs="Times New Roman"/>
          <w:i w:val="0"/>
          <w:sz w:val="26"/>
          <w:szCs w:val="26"/>
        </w:rPr>
        <w:t xml:space="preserve">2019. </w:t>
      </w:r>
      <w:proofErr w:type="gramStart"/>
      <w:r>
        <w:rPr>
          <w:rStyle w:val="Emphasis"/>
          <w:rFonts w:ascii="Times New Roman" w:hAnsi="Times New Roman" w:cs="Times New Roman"/>
          <w:i w:val="0"/>
          <w:sz w:val="26"/>
          <w:szCs w:val="26"/>
        </w:rPr>
        <w:t>S</w:t>
      </w:r>
      <w:r w:rsidRPr="00654EC6">
        <w:rPr>
          <w:rStyle w:val="Emphasis"/>
          <w:rFonts w:ascii="Times New Roman" w:hAnsi="Times New Roman" w:cs="Times New Roman"/>
          <w:i w:val="0"/>
          <w:sz w:val="26"/>
          <w:szCs w:val="26"/>
        </w:rPr>
        <w:t xml:space="preserve">ự sụt giảm FTK phản ánh </w:t>
      </w:r>
      <w:r>
        <w:rPr>
          <w:rStyle w:val="Emphasis"/>
          <w:rFonts w:ascii="Times New Roman" w:hAnsi="Times New Roman" w:cs="Times New Roman"/>
          <w:i w:val="0"/>
          <w:sz w:val="26"/>
          <w:szCs w:val="26"/>
        </w:rPr>
        <w:t>dấu hiệu chững lại trong thương mại toàn cầu.</w:t>
      </w:r>
      <w:proofErr w:type="gramEnd"/>
      <w:r>
        <w:rPr>
          <w:rStyle w:val="Emphasis"/>
          <w:rFonts w:ascii="Times New Roman" w:hAnsi="Times New Roman" w:cs="Times New Roman"/>
          <w:i w:val="0"/>
          <w:sz w:val="26"/>
          <w:szCs w:val="26"/>
        </w:rPr>
        <w:t xml:space="preserve"> </w:t>
      </w:r>
    </w:p>
    <w:p w:rsidR="00654EC6" w:rsidRDefault="00654EC6" w:rsidP="0014653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Tuyến</w:t>
      </w:r>
      <w:r w:rsidRPr="00654EC6">
        <w:rPr>
          <w:rStyle w:val="Emphasis"/>
          <w:rFonts w:ascii="Times New Roman" w:hAnsi="Times New Roman" w:cs="Times New Roman"/>
          <w:i w:val="0"/>
          <w:sz w:val="26"/>
          <w:szCs w:val="26"/>
        </w:rPr>
        <w:t xml:space="preserve"> Châu Á-Châu Âu phục hồi sau bốn tháng tăng trưởng âm, trong khi </w:t>
      </w:r>
      <w:r>
        <w:rPr>
          <w:rStyle w:val="Emphasis"/>
          <w:rFonts w:ascii="Times New Roman" w:hAnsi="Times New Roman" w:cs="Times New Roman"/>
          <w:i w:val="0"/>
          <w:sz w:val="26"/>
          <w:szCs w:val="26"/>
        </w:rPr>
        <w:t>t</w:t>
      </w:r>
      <w:r w:rsidR="006415B7">
        <w:rPr>
          <w:rStyle w:val="Emphasis"/>
          <w:rFonts w:ascii="Times New Roman" w:hAnsi="Times New Roman" w:cs="Times New Roman"/>
          <w:i w:val="0"/>
          <w:sz w:val="26"/>
          <w:szCs w:val="26"/>
        </w:rPr>
        <w:t>uyến</w:t>
      </w:r>
      <w:r>
        <w:rPr>
          <w:rStyle w:val="Emphasis"/>
          <w:rFonts w:ascii="Times New Roman" w:hAnsi="Times New Roman" w:cs="Times New Roman"/>
          <w:i w:val="0"/>
          <w:sz w:val="26"/>
          <w:szCs w:val="26"/>
        </w:rPr>
        <w:t xml:space="preserve"> </w:t>
      </w:r>
      <w:r w:rsidRPr="00654EC6">
        <w:rPr>
          <w:rStyle w:val="Emphasis"/>
          <w:rFonts w:ascii="Times New Roman" w:hAnsi="Times New Roman" w:cs="Times New Roman"/>
          <w:i w:val="0"/>
          <w:sz w:val="26"/>
          <w:szCs w:val="26"/>
        </w:rPr>
        <w:t>Châu Á-Bắc Mỹ và trong</w:t>
      </w:r>
      <w:r>
        <w:rPr>
          <w:rStyle w:val="Emphasis"/>
          <w:rFonts w:ascii="Times New Roman" w:hAnsi="Times New Roman" w:cs="Times New Roman"/>
          <w:i w:val="0"/>
          <w:sz w:val="26"/>
          <w:szCs w:val="26"/>
        </w:rPr>
        <w:t xml:space="preserve"> nội bộ</w:t>
      </w:r>
      <w:r w:rsidRPr="00654EC6">
        <w:rPr>
          <w:rStyle w:val="Emphasis"/>
          <w:rFonts w:ascii="Times New Roman" w:hAnsi="Times New Roman" w:cs="Times New Roman"/>
          <w:i w:val="0"/>
          <w:sz w:val="26"/>
          <w:szCs w:val="26"/>
        </w:rPr>
        <w:t xml:space="preserve"> Châu Á tiếp tục ghi nhận khối lượng giảm. Tăng trưởng FTK tăng ở các thị trường quốc tế nhỏ hơn, bao gồm </w:t>
      </w:r>
      <w:r w:rsidR="002B6CA9">
        <w:rPr>
          <w:rStyle w:val="Emphasis"/>
          <w:rFonts w:ascii="Times New Roman" w:hAnsi="Times New Roman" w:cs="Times New Roman"/>
          <w:i w:val="0"/>
          <w:sz w:val="26"/>
          <w:szCs w:val="26"/>
        </w:rPr>
        <w:t xml:space="preserve">mức </w:t>
      </w:r>
      <w:r w:rsidRPr="00654EC6">
        <w:rPr>
          <w:rStyle w:val="Emphasis"/>
          <w:rFonts w:ascii="Times New Roman" w:hAnsi="Times New Roman" w:cs="Times New Roman"/>
          <w:i w:val="0"/>
          <w:sz w:val="26"/>
          <w:szCs w:val="26"/>
        </w:rPr>
        <w:t>tăng trưởng 4</w:t>
      </w:r>
      <w:proofErr w:type="gramStart"/>
      <w:r w:rsidRPr="00654EC6">
        <w:rPr>
          <w:rStyle w:val="Emphasis"/>
          <w:rFonts w:ascii="Times New Roman" w:hAnsi="Times New Roman" w:cs="Times New Roman"/>
          <w:i w:val="0"/>
          <w:sz w:val="26"/>
          <w:szCs w:val="26"/>
        </w:rPr>
        <w:t>,9</w:t>
      </w:r>
      <w:proofErr w:type="gramEnd"/>
      <w:r w:rsidRPr="00654EC6">
        <w:rPr>
          <w:rStyle w:val="Emphasis"/>
          <w:rFonts w:ascii="Times New Roman" w:hAnsi="Times New Roman" w:cs="Times New Roman"/>
          <w:i w:val="0"/>
          <w:sz w:val="26"/>
          <w:szCs w:val="26"/>
        </w:rPr>
        <w:t>% tại thị trường châu Á-châu Phi. Hệ số tải hàng hóa ở</w:t>
      </w:r>
      <w:r w:rsidR="002B6CA9">
        <w:rPr>
          <w:rStyle w:val="Emphasis"/>
          <w:rFonts w:ascii="Times New Roman" w:hAnsi="Times New Roman" w:cs="Times New Roman"/>
          <w:i w:val="0"/>
          <w:sz w:val="26"/>
          <w:szCs w:val="26"/>
        </w:rPr>
        <w:t xml:space="preserve"> Châu Á- T</w:t>
      </w:r>
      <w:r w:rsidRPr="00654EC6">
        <w:rPr>
          <w:rStyle w:val="Emphasis"/>
          <w:rFonts w:ascii="Times New Roman" w:hAnsi="Times New Roman" w:cs="Times New Roman"/>
          <w:i w:val="0"/>
          <w:sz w:val="26"/>
          <w:szCs w:val="26"/>
        </w:rPr>
        <w:t xml:space="preserve">hái Bình Dương </w:t>
      </w:r>
      <w:r w:rsidR="002B6CA9">
        <w:rPr>
          <w:rStyle w:val="Emphasis"/>
          <w:rFonts w:ascii="Times New Roman" w:hAnsi="Times New Roman" w:cs="Times New Roman"/>
          <w:i w:val="0"/>
          <w:sz w:val="26"/>
          <w:szCs w:val="26"/>
        </w:rPr>
        <w:t>đạt</w:t>
      </w:r>
      <w:r w:rsidRPr="00654EC6">
        <w:rPr>
          <w:rStyle w:val="Emphasis"/>
          <w:rFonts w:ascii="Times New Roman" w:hAnsi="Times New Roman" w:cs="Times New Roman"/>
          <w:i w:val="0"/>
          <w:sz w:val="26"/>
          <w:szCs w:val="26"/>
        </w:rPr>
        <w:t xml:space="preserve"> 55</w:t>
      </w:r>
      <w:proofErr w:type="gramStart"/>
      <w:r w:rsidRPr="00654EC6">
        <w:rPr>
          <w:rStyle w:val="Emphasis"/>
          <w:rFonts w:ascii="Times New Roman" w:hAnsi="Times New Roman" w:cs="Times New Roman"/>
          <w:i w:val="0"/>
          <w:sz w:val="26"/>
          <w:szCs w:val="26"/>
        </w:rPr>
        <w:t>,6</w:t>
      </w:r>
      <w:proofErr w:type="gramEnd"/>
      <w:r w:rsidR="002B6CA9">
        <w:rPr>
          <w:rStyle w:val="Emphasis"/>
          <w:rFonts w:ascii="Times New Roman" w:hAnsi="Times New Roman" w:cs="Times New Roman"/>
          <w:i w:val="0"/>
          <w:sz w:val="26"/>
          <w:szCs w:val="26"/>
        </w:rPr>
        <w:t>%.</w:t>
      </w:r>
    </w:p>
    <w:p w:rsidR="0014653E" w:rsidRDefault="00654EC6" w:rsidP="0014653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654EC6">
        <w:rPr>
          <w:rStyle w:val="Emphasis"/>
          <w:rFonts w:ascii="Times New Roman" w:hAnsi="Times New Roman" w:cs="Times New Roman"/>
          <w:i w:val="0"/>
          <w:sz w:val="26"/>
          <w:szCs w:val="26"/>
        </w:rPr>
        <w:t>Kể từ quý cuối năm 2018</w:t>
      </w:r>
      <w:r w:rsidR="006415B7">
        <w:rPr>
          <w:rStyle w:val="Emphasis"/>
          <w:rFonts w:ascii="Times New Roman" w:hAnsi="Times New Roman" w:cs="Times New Roman"/>
          <w:i w:val="0"/>
          <w:sz w:val="26"/>
          <w:szCs w:val="26"/>
        </w:rPr>
        <w:t xml:space="preserve">, </w:t>
      </w:r>
      <w:r w:rsidRPr="00654EC6">
        <w:rPr>
          <w:rStyle w:val="Emphasis"/>
          <w:rFonts w:ascii="Times New Roman" w:hAnsi="Times New Roman" w:cs="Times New Roman"/>
          <w:i w:val="0"/>
          <w:sz w:val="26"/>
          <w:szCs w:val="26"/>
        </w:rPr>
        <w:t xml:space="preserve">khối lượng hàng hóa </w:t>
      </w:r>
      <w:r w:rsidR="006415B7">
        <w:rPr>
          <w:rStyle w:val="Emphasis"/>
          <w:rFonts w:ascii="Times New Roman" w:hAnsi="Times New Roman" w:cs="Times New Roman"/>
          <w:i w:val="0"/>
          <w:sz w:val="26"/>
          <w:szCs w:val="26"/>
        </w:rPr>
        <w:t xml:space="preserve">vận chuyển bằng </w:t>
      </w:r>
      <w:r w:rsidRPr="00654EC6">
        <w:rPr>
          <w:rStyle w:val="Emphasis"/>
          <w:rFonts w:ascii="Times New Roman" w:hAnsi="Times New Roman" w:cs="Times New Roman"/>
          <w:i w:val="0"/>
          <w:sz w:val="26"/>
          <w:szCs w:val="26"/>
        </w:rPr>
        <w:t xml:space="preserve">hàng không </w:t>
      </w:r>
      <w:r w:rsidR="006415B7">
        <w:rPr>
          <w:rStyle w:val="Emphasis"/>
          <w:rFonts w:ascii="Times New Roman" w:hAnsi="Times New Roman" w:cs="Times New Roman"/>
          <w:i w:val="0"/>
          <w:sz w:val="26"/>
          <w:szCs w:val="26"/>
        </w:rPr>
        <w:t xml:space="preserve">đã </w:t>
      </w:r>
      <w:r w:rsidRPr="00654EC6">
        <w:rPr>
          <w:rStyle w:val="Emphasis"/>
          <w:rFonts w:ascii="Times New Roman" w:hAnsi="Times New Roman" w:cs="Times New Roman"/>
          <w:i w:val="0"/>
          <w:sz w:val="26"/>
          <w:szCs w:val="26"/>
        </w:rPr>
        <w:t xml:space="preserve">sụt giảm khi tranh chấp chưa được giải quyết và </w:t>
      </w:r>
      <w:r w:rsidR="006415B7">
        <w:rPr>
          <w:rStyle w:val="Emphasis"/>
          <w:rFonts w:ascii="Times New Roman" w:hAnsi="Times New Roman" w:cs="Times New Roman"/>
          <w:i w:val="0"/>
          <w:sz w:val="26"/>
          <w:szCs w:val="26"/>
        </w:rPr>
        <w:t>đe dọa</w:t>
      </w:r>
      <w:r w:rsidRPr="00654EC6">
        <w:rPr>
          <w:rStyle w:val="Emphasis"/>
          <w:rFonts w:ascii="Times New Roman" w:hAnsi="Times New Roman" w:cs="Times New Roman"/>
          <w:i w:val="0"/>
          <w:sz w:val="26"/>
          <w:szCs w:val="26"/>
        </w:rPr>
        <w:t xml:space="preserve"> thuế quan thương mại dẫn đến dòng chảy thương mại quốc tế chậm lạ</w:t>
      </w:r>
      <w:r>
        <w:rPr>
          <w:rStyle w:val="Emphasis"/>
          <w:rFonts w:ascii="Times New Roman" w:hAnsi="Times New Roman" w:cs="Times New Roman"/>
          <w:i w:val="0"/>
          <w:sz w:val="26"/>
          <w:szCs w:val="26"/>
        </w:rPr>
        <w:t>i.</w:t>
      </w:r>
      <w:proofErr w:type="gramEnd"/>
    </w:p>
    <w:p w:rsidR="00251F6E" w:rsidRPr="00251F6E" w:rsidRDefault="00251F6E" w:rsidP="00251F6E">
      <w:pPr>
        <w:shd w:val="clear" w:color="auto" w:fill="FFFFFF"/>
        <w:spacing w:after="177" w:line="312" w:lineRule="auto"/>
        <w:ind w:firstLine="720"/>
        <w:jc w:val="both"/>
        <w:rPr>
          <w:rStyle w:val="Emphasis"/>
          <w:rFonts w:ascii="Times New Roman" w:hAnsi="Times New Roman" w:cs="Times New Roman"/>
          <w:sz w:val="26"/>
          <w:szCs w:val="26"/>
        </w:rPr>
      </w:pPr>
      <w:r w:rsidRPr="00251F6E">
        <w:rPr>
          <w:rStyle w:val="Emphasis"/>
          <w:rFonts w:ascii="Times New Roman" w:hAnsi="Times New Roman" w:cs="Times New Roman"/>
          <w:sz w:val="26"/>
          <w:szCs w:val="26"/>
        </w:rPr>
        <w:t>Các hãng hàng không lớn nhất của Trung Quố</w:t>
      </w:r>
      <w:r w:rsidR="006415B7">
        <w:rPr>
          <w:rStyle w:val="Emphasis"/>
          <w:rFonts w:ascii="Times New Roman" w:hAnsi="Times New Roman" w:cs="Times New Roman"/>
          <w:sz w:val="26"/>
          <w:szCs w:val="26"/>
        </w:rPr>
        <w:t>c</w:t>
      </w:r>
      <w:r w:rsidRPr="00251F6E">
        <w:rPr>
          <w:rStyle w:val="Emphasis"/>
          <w:rFonts w:ascii="Times New Roman" w:hAnsi="Times New Roman" w:cs="Times New Roman"/>
          <w:sz w:val="26"/>
          <w:szCs w:val="26"/>
        </w:rPr>
        <w:t xml:space="preserve"> tìm kiếm sự bồi thường từ Công ty Boeing vì sự chậm trễ và tổn thất đơn hàng do </w:t>
      </w:r>
      <w:r>
        <w:rPr>
          <w:rStyle w:val="Emphasis"/>
          <w:rFonts w:ascii="Times New Roman" w:hAnsi="Times New Roman" w:cs="Times New Roman"/>
          <w:sz w:val="26"/>
          <w:szCs w:val="26"/>
        </w:rPr>
        <w:t>sự cố máy bay</w:t>
      </w:r>
      <w:r w:rsidRPr="00251F6E">
        <w:rPr>
          <w:rStyle w:val="Emphasis"/>
          <w:rFonts w:ascii="Times New Roman" w:hAnsi="Times New Roman" w:cs="Times New Roman"/>
          <w:sz w:val="26"/>
          <w:szCs w:val="26"/>
        </w:rPr>
        <w:t xml:space="preserve"> 737 Max.</w:t>
      </w:r>
    </w:p>
    <w:p w:rsidR="00251F6E" w:rsidRPr="00251F6E" w:rsidRDefault="00251F6E" w:rsidP="00251F6E">
      <w:pPr>
        <w:shd w:val="clear" w:color="auto" w:fill="FFFFFF"/>
        <w:spacing w:after="177" w:line="312" w:lineRule="auto"/>
        <w:ind w:firstLine="720"/>
        <w:jc w:val="both"/>
        <w:rPr>
          <w:rStyle w:val="Emphasis"/>
          <w:rFonts w:ascii="Times New Roman" w:hAnsi="Times New Roman" w:cs="Times New Roman"/>
          <w:i w:val="0"/>
          <w:sz w:val="26"/>
          <w:szCs w:val="26"/>
        </w:rPr>
      </w:pPr>
      <w:r w:rsidRPr="00251F6E">
        <w:rPr>
          <w:rStyle w:val="Emphasis"/>
          <w:rFonts w:ascii="Times New Roman" w:hAnsi="Times New Roman" w:cs="Times New Roman"/>
          <w:i w:val="0"/>
          <w:sz w:val="26"/>
          <w:szCs w:val="26"/>
        </w:rPr>
        <w:t>Air China Ltd. và China Southern Airlines Co. đã đệ đơn yêu cầu chính thức với nhà sản xuất máy bay của Hoa Kỳ</w:t>
      </w:r>
      <w:r w:rsidR="006415B7">
        <w:rPr>
          <w:rStyle w:val="Emphasis"/>
          <w:rFonts w:ascii="Times New Roman" w:hAnsi="Times New Roman" w:cs="Times New Roman"/>
          <w:i w:val="0"/>
          <w:sz w:val="26"/>
          <w:szCs w:val="26"/>
        </w:rPr>
        <w:t xml:space="preserve"> về bồi thường tổn thất do sự cố ngừng bay dòng máy bay 737 Max.</w:t>
      </w:r>
    </w:p>
    <w:p w:rsidR="00251F6E" w:rsidRPr="00251F6E" w:rsidRDefault="006415B7" w:rsidP="00251F6E">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251F6E">
        <w:rPr>
          <w:rStyle w:val="Emphasis"/>
          <w:rFonts w:ascii="Times New Roman" w:hAnsi="Times New Roman" w:cs="Times New Roman"/>
          <w:i w:val="0"/>
          <w:sz w:val="26"/>
          <w:szCs w:val="26"/>
        </w:rPr>
        <w:t>heo Cục Hàng không Dân dụng Trung Quố</w:t>
      </w:r>
      <w:r>
        <w:rPr>
          <w:rStyle w:val="Emphasis"/>
          <w:rFonts w:ascii="Times New Roman" w:hAnsi="Times New Roman" w:cs="Times New Roman"/>
          <w:i w:val="0"/>
          <w:sz w:val="26"/>
          <w:szCs w:val="26"/>
        </w:rPr>
        <w:t>c</w:t>
      </w:r>
      <w:r w:rsidRPr="00251F6E">
        <w:rPr>
          <w:rStyle w:val="Emphasis"/>
          <w:rFonts w:ascii="Times New Roman" w:hAnsi="Times New Roman" w:cs="Times New Roman"/>
          <w:i w:val="0"/>
          <w:sz w:val="26"/>
          <w:szCs w:val="26"/>
        </w:rPr>
        <w:t xml:space="preserve"> </w:t>
      </w:r>
      <w:r w:rsidR="00251F6E" w:rsidRPr="00251F6E">
        <w:rPr>
          <w:rStyle w:val="Emphasis"/>
          <w:rFonts w:ascii="Times New Roman" w:hAnsi="Times New Roman" w:cs="Times New Roman"/>
          <w:i w:val="0"/>
          <w:sz w:val="26"/>
          <w:szCs w:val="26"/>
        </w:rPr>
        <w:t xml:space="preserve">65% hành khách </w:t>
      </w:r>
      <w:r>
        <w:rPr>
          <w:rStyle w:val="Emphasis"/>
          <w:rFonts w:ascii="Times New Roman" w:hAnsi="Times New Roman" w:cs="Times New Roman"/>
          <w:i w:val="0"/>
          <w:sz w:val="26"/>
          <w:szCs w:val="26"/>
        </w:rPr>
        <w:t xml:space="preserve">nội địa </w:t>
      </w:r>
      <w:r w:rsidR="00251F6E" w:rsidRPr="00251F6E">
        <w:rPr>
          <w:rStyle w:val="Emphasis"/>
          <w:rFonts w:ascii="Times New Roman" w:hAnsi="Times New Roman" w:cs="Times New Roman"/>
          <w:i w:val="0"/>
          <w:sz w:val="26"/>
          <w:szCs w:val="26"/>
        </w:rPr>
        <w:t xml:space="preserve">đã </w:t>
      </w:r>
      <w:r>
        <w:rPr>
          <w:rStyle w:val="Emphasis"/>
          <w:rFonts w:ascii="Times New Roman" w:hAnsi="Times New Roman" w:cs="Times New Roman"/>
          <w:i w:val="0"/>
          <w:sz w:val="26"/>
          <w:szCs w:val="26"/>
        </w:rPr>
        <w:t>sử dụng dịch vụ bay của các</w:t>
      </w:r>
      <w:r w:rsidR="00251F6E" w:rsidRPr="00251F6E">
        <w:rPr>
          <w:rStyle w:val="Emphasis"/>
          <w:rFonts w:ascii="Times New Roman" w:hAnsi="Times New Roman" w:cs="Times New Roman"/>
          <w:i w:val="0"/>
          <w:sz w:val="26"/>
          <w:szCs w:val="26"/>
        </w:rPr>
        <w:t xml:space="preserve"> hãng hàng không Trung Quố</w:t>
      </w:r>
      <w:r>
        <w:rPr>
          <w:rStyle w:val="Emphasis"/>
          <w:rFonts w:ascii="Times New Roman" w:hAnsi="Times New Roman" w:cs="Times New Roman"/>
          <w:i w:val="0"/>
          <w:sz w:val="26"/>
          <w:szCs w:val="26"/>
        </w:rPr>
        <w:t>c vào năm 2018 và dòng máy bay này đảm nhận một lượng lớn số ghế</w:t>
      </w:r>
      <w:r w:rsidR="00251F6E">
        <w:rPr>
          <w:rStyle w:val="Emphasis"/>
          <w:rFonts w:ascii="Times New Roman" w:hAnsi="Times New Roman" w:cs="Times New Roman"/>
          <w:i w:val="0"/>
          <w:sz w:val="26"/>
          <w:szCs w:val="26"/>
        </w:rPr>
        <w:t>.</w:t>
      </w:r>
    </w:p>
    <w:p w:rsidR="00251F6E" w:rsidRPr="00251F6E" w:rsidRDefault="00251F6E" w:rsidP="00251F6E">
      <w:pPr>
        <w:shd w:val="clear" w:color="auto" w:fill="FFFFFF"/>
        <w:spacing w:after="177" w:line="312" w:lineRule="auto"/>
        <w:ind w:firstLine="720"/>
        <w:jc w:val="both"/>
        <w:rPr>
          <w:rStyle w:val="Emphasis"/>
          <w:rFonts w:ascii="Times New Roman" w:hAnsi="Times New Roman" w:cs="Times New Roman"/>
          <w:i w:val="0"/>
          <w:sz w:val="26"/>
          <w:szCs w:val="26"/>
        </w:rPr>
      </w:pPr>
      <w:r w:rsidRPr="00251F6E">
        <w:rPr>
          <w:rStyle w:val="Emphasis"/>
          <w:rFonts w:ascii="Times New Roman" w:hAnsi="Times New Roman" w:cs="Times New Roman"/>
          <w:i w:val="0"/>
          <w:sz w:val="26"/>
          <w:szCs w:val="26"/>
        </w:rPr>
        <w:t xml:space="preserve">Máy bay 737 MAX </w:t>
      </w:r>
      <w:r w:rsidR="006415B7">
        <w:rPr>
          <w:rStyle w:val="Emphasis"/>
          <w:rFonts w:ascii="Times New Roman" w:hAnsi="Times New Roman" w:cs="Times New Roman"/>
          <w:i w:val="0"/>
          <w:sz w:val="26"/>
          <w:szCs w:val="26"/>
        </w:rPr>
        <w:t>bị cấm bay tại nhiều nước</w:t>
      </w:r>
      <w:r w:rsidRPr="00251F6E">
        <w:rPr>
          <w:rStyle w:val="Emphasis"/>
          <w:rFonts w:ascii="Times New Roman" w:hAnsi="Times New Roman" w:cs="Times New Roman"/>
          <w:i w:val="0"/>
          <w:sz w:val="26"/>
          <w:szCs w:val="26"/>
        </w:rPr>
        <w:t xml:space="preserve"> vì những lo ngại về an ninh và các vấn đề kỹ thuật vẫn chưa được giải quyết</w:t>
      </w:r>
      <w:r w:rsidR="006415B7">
        <w:rPr>
          <w:rStyle w:val="Emphasis"/>
          <w:rFonts w:ascii="Times New Roman" w:hAnsi="Times New Roman" w:cs="Times New Roman"/>
          <w:i w:val="0"/>
          <w:sz w:val="26"/>
          <w:szCs w:val="26"/>
        </w:rPr>
        <w:t>, gây khó khăn thiệt hại lớn cho các hãng hàng không Trung Quốc, do đó m</w:t>
      </w:r>
      <w:r w:rsidRPr="00251F6E">
        <w:rPr>
          <w:rStyle w:val="Emphasis"/>
          <w:rFonts w:ascii="Times New Roman" w:hAnsi="Times New Roman" w:cs="Times New Roman"/>
          <w:i w:val="0"/>
          <w:sz w:val="26"/>
          <w:szCs w:val="26"/>
        </w:rPr>
        <w:t>ột công ty có thể yêu cầu quyền lợi hợp pháp củ</w:t>
      </w:r>
      <w:r>
        <w:rPr>
          <w:rStyle w:val="Emphasis"/>
          <w:rFonts w:ascii="Times New Roman" w:hAnsi="Times New Roman" w:cs="Times New Roman"/>
          <w:i w:val="0"/>
          <w:sz w:val="26"/>
          <w:szCs w:val="26"/>
        </w:rPr>
        <w:t>a mình.</w:t>
      </w:r>
    </w:p>
    <w:p w:rsidR="00251F6E" w:rsidRPr="00251F6E" w:rsidRDefault="00251F6E" w:rsidP="00A964EA">
      <w:pPr>
        <w:shd w:val="clear" w:color="auto" w:fill="FFFFFF"/>
        <w:spacing w:after="177" w:line="312" w:lineRule="auto"/>
        <w:ind w:firstLine="720"/>
        <w:jc w:val="both"/>
        <w:rPr>
          <w:rStyle w:val="Emphasis"/>
          <w:rFonts w:ascii="Times New Roman" w:hAnsi="Times New Roman" w:cs="Times New Roman"/>
          <w:i w:val="0"/>
          <w:sz w:val="26"/>
          <w:szCs w:val="26"/>
        </w:rPr>
      </w:pPr>
      <w:r w:rsidRPr="00251F6E">
        <w:rPr>
          <w:rStyle w:val="Emphasis"/>
          <w:rFonts w:ascii="Times New Roman" w:hAnsi="Times New Roman" w:cs="Times New Roman"/>
          <w:i w:val="0"/>
          <w:sz w:val="26"/>
          <w:szCs w:val="26"/>
        </w:rPr>
        <w:t>Các tuyên bố có thể</w:t>
      </w:r>
      <w:r w:rsidR="006415B7">
        <w:rPr>
          <w:rStyle w:val="Emphasis"/>
          <w:rFonts w:ascii="Times New Roman" w:hAnsi="Times New Roman" w:cs="Times New Roman"/>
          <w:i w:val="0"/>
          <w:sz w:val="26"/>
          <w:szCs w:val="26"/>
        </w:rPr>
        <w:t xml:space="preserve"> giúp các hãng hàng không tăng sức ép đòi Boeing bồi thường</w:t>
      </w:r>
      <w:r w:rsidRPr="00251F6E">
        <w:rPr>
          <w:rStyle w:val="Emphasis"/>
          <w:rFonts w:ascii="Times New Roman" w:hAnsi="Times New Roman" w:cs="Times New Roman"/>
          <w:i w:val="0"/>
          <w:sz w:val="26"/>
          <w:szCs w:val="26"/>
        </w:rPr>
        <w:t xml:space="preserve"> khi ảnh hưởng của Trung Quốc trong</w:t>
      </w:r>
      <w:r w:rsidR="006415B7">
        <w:rPr>
          <w:rStyle w:val="Emphasis"/>
          <w:rFonts w:ascii="Times New Roman" w:hAnsi="Times New Roman" w:cs="Times New Roman"/>
          <w:i w:val="0"/>
          <w:sz w:val="26"/>
          <w:szCs w:val="26"/>
        </w:rPr>
        <w:t xml:space="preserve"> thị trường</w:t>
      </w:r>
      <w:r w:rsidRPr="00251F6E">
        <w:rPr>
          <w:rStyle w:val="Emphasis"/>
          <w:rFonts w:ascii="Times New Roman" w:hAnsi="Times New Roman" w:cs="Times New Roman"/>
          <w:i w:val="0"/>
          <w:sz w:val="26"/>
          <w:szCs w:val="26"/>
        </w:rPr>
        <w:t xml:space="preserve"> </w:t>
      </w:r>
      <w:r w:rsidR="006415B7" w:rsidRPr="00251F6E">
        <w:rPr>
          <w:rStyle w:val="Emphasis"/>
          <w:rFonts w:ascii="Times New Roman" w:hAnsi="Times New Roman" w:cs="Times New Roman"/>
          <w:i w:val="0"/>
          <w:sz w:val="26"/>
          <w:szCs w:val="26"/>
        </w:rPr>
        <w:t xml:space="preserve">hàng không </w:t>
      </w:r>
      <w:r w:rsidRPr="00251F6E">
        <w:rPr>
          <w:rStyle w:val="Emphasis"/>
          <w:rFonts w:ascii="Times New Roman" w:hAnsi="Times New Roman" w:cs="Times New Roman"/>
          <w:i w:val="0"/>
          <w:sz w:val="26"/>
          <w:szCs w:val="26"/>
        </w:rPr>
        <w:t xml:space="preserve">thế giới tăng </w:t>
      </w:r>
      <w:r w:rsidR="006415B7">
        <w:rPr>
          <w:rStyle w:val="Emphasis"/>
          <w:rFonts w:ascii="Times New Roman" w:hAnsi="Times New Roman" w:cs="Times New Roman"/>
          <w:i w:val="0"/>
          <w:sz w:val="26"/>
          <w:szCs w:val="26"/>
        </w:rPr>
        <w:t xml:space="preserve">mạnh </w:t>
      </w:r>
      <w:r w:rsidRPr="00251F6E">
        <w:rPr>
          <w:rStyle w:val="Emphasis"/>
          <w:rFonts w:ascii="Times New Roman" w:hAnsi="Times New Roman" w:cs="Times New Roman"/>
          <w:i w:val="0"/>
          <w:sz w:val="26"/>
          <w:szCs w:val="26"/>
        </w:rPr>
        <w:t>t</w:t>
      </w:r>
      <w:r w:rsidR="006415B7">
        <w:rPr>
          <w:rStyle w:val="Emphasis"/>
          <w:rFonts w:ascii="Times New Roman" w:hAnsi="Times New Roman" w:cs="Times New Roman"/>
          <w:i w:val="0"/>
          <w:sz w:val="26"/>
          <w:szCs w:val="26"/>
        </w:rPr>
        <w:t>rong những năm gần đây</w:t>
      </w:r>
      <w:r w:rsidRPr="00251F6E">
        <w:rPr>
          <w:rStyle w:val="Emphasis"/>
          <w:rFonts w:ascii="Times New Roman" w:hAnsi="Times New Roman" w:cs="Times New Roman"/>
          <w:i w:val="0"/>
          <w:sz w:val="26"/>
          <w:szCs w:val="26"/>
        </w:rPr>
        <w:t xml:space="preserve">. </w:t>
      </w:r>
      <w:r w:rsidR="006415B7">
        <w:rPr>
          <w:rStyle w:val="Emphasis"/>
          <w:rFonts w:ascii="Times New Roman" w:hAnsi="Times New Roman" w:cs="Times New Roman"/>
          <w:i w:val="0"/>
          <w:sz w:val="26"/>
          <w:szCs w:val="26"/>
        </w:rPr>
        <w:t>C</w:t>
      </w:r>
      <w:r w:rsidRPr="00251F6E">
        <w:rPr>
          <w:rStyle w:val="Emphasis"/>
          <w:rFonts w:ascii="Times New Roman" w:hAnsi="Times New Roman" w:cs="Times New Roman"/>
          <w:i w:val="0"/>
          <w:sz w:val="26"/>
          <w:szCs w:val="26"/>
        </w:rPr>
        <w:t xml:space="preserve">ác hãng khác của Trung Quốc bao gồm Xiamen Airlines Co., Hainan Airlines Holding Co, Shenzhen Airlines Co. và </w:t>
      </w:r>
      <w:r w:rsidR="006415B7" w:rsidRPr="00251F6E">
        <w:rPr>
          <w:rStyle w:val="Emphasis"/>
          <w:rFonts w:ascii="Times New Roman" w:hAnsi="Times New Roman" w:cs="Times New Roman"/>
          <w:i w:val="0"/>
          <w:sz w:val="26"/>
          <w:szCs w:val="26"/>
        </w:rPr>
        <w:t xml:space="preserve">Công ty </w:t>
      </w:r>
      <w:r w:rsidRPr="00251F6E">
        <w:rPr>
          <w:rStyle w:val="Emphasis"/>
          <w:rFonts w:ascii="Times New Roman" w:hAnsi="Times New Roman" w:cs="Times New Roman"/>
          <w:i w:val="0"/>
          <w:sz w:val="26"/>
          <w:szCs w:val="26"/>
        </w:rPr>
        <w:t xml:space="preserve">Shandong Airlines </w:t>
      </w:r>
      <w:r w:rsidR="006415B7">
        <w:rPr>
          <w:rStyle w:val="Emphasis"/>
          <w:rFonts w:ascii="Times New Roman" w:hAnsi="Times New Roman" w:cs="Times New Roman"/>
          <w:i w:val="0"/>
          <w:sz w:val="26"/>
          <w:szCs w:val="26"/>
        </w:rPr>
        <w:t>cũng đã nhận các đợt giao hàng 727</w:t>
      </w:r>
      <w:r w:rsidRPr="00251F6E">
        <w:rPr>
          <w:rStyle w:val="Emphasis"/>
          <w:rFonts w:ascii="Times New Roman" w:hAnsi="Times New Roman" w:cs="Times New Roman"/>
          <w:i w:val="0"/>
          <w:sz w:val="26"/>
          <w:szCs w:val="26"/>
        </w:rPr>
        <w:t xml:space="preserve"> Max, trong khi Ruili Airlines Co., Donghai Airlines Co. và Okay Airways đang chờ </w:t>
      </w:r>
      <w:r w:rsidR="006415B7">
        <w:rPr>
          <w:rStyle w:val="Emphasis"/>
          <w:rFonts w:ascii="Times New Roman" w:hAnsi="Times New Roman" w:cs="Times New Roman"/>
          <w:i w:val="0"/>
          <w:sz w:val="26"/>
          <w:szCs w:val="26"/>
        </w:rPr>
        <w:t xml:space="preserve">nhận các đơn hàng </w:t>
      </w:r>
      <w:r w:rsidR="006415B7">
        <w:rPr>
          <w:rStyle w:val="Emphasis"/>
          <w:rFonts w:ascii="Times New Roman" w:hAnsi="Times New Roman" w:cs="Times New Roman"/>
          <w:i w:val="0"/>
          <w:sz w:val="26"/>
          <w:szCs w:val="26"/>
        </w:rPr>
        <w:lastRenderedPageBreak/>
        <w:t>đầu tiên</w:t>
      </w:r>
      <w:r w:rsidRPr="00251F6E">
        <w:rPr>
          <w:rStyle w:val="Emphasis"/>
          <w:rFonts w:ascii="Times New Roman" w:hAnsi="Times New Roman" w:cs="Times New Roman"/>
          <w:i w:val="0"/>
          <w:sz w:val="26"/>
          <w:szCs w:val="26"/>
        </w:rPr>
        <w:t>.</w:t>
      </w:r>
      <w:r w:rsidR="006415B7">
        <w:rPr>
          <w:rStyle w:val="Emphasis"/>
          <w:rFonts w:ascii="Times New Roman" w:hAnsi="Times New Roman" w:cs="Times New Roman"/>
          <w:i w:val="0"/>
          <w:sz w:val="26"/>
          <w:szCs w:val="26"/>
        </w:rPr>
        <w:t xml:space="preserve"> Nếu sự cố của dòng máy bay này không được giải quyết</w:t>
      </w:r>
      <w:r w:rsidR="00A964EA">
        <w:rPr>
          <w:rStyle w:val="Emphasis"/>
          <w:rFonts w:ascii="Times New Roman" w:hAnsi="Times New Roman" w:cs="Times New Roman"/>
          <w:i w:val="0"/>
          <w:sz w:val="26"/>
          <w:szCs w:val="26"/>
        </w:rPr>
        <w:t xml:space="preserve"> thì thiệt hại sẽ càng tăng lelen trong thowfif gian tới. </w:t>
      </w:r>
    </w:p>
    <w:p w:rsidR="00251F6E" w:rsidRPr="00251F6E" w:rsidRDefault="00A964EA" w:rsidP="006415B7">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Cơ quan</w:t>
      </w:r>
      <w:r w:rsidR="00251F6E" w:rsidRPr="00251F6E">
        <w:rPr>
          <w:rStyle w:val="Emphasis"/>
          <w:rFonts w:ascii="Times New Roman" w:hAnsi="Times New Roman" w:cs="Times New Roman"/>
          <w:i w:val="0"/>
          <w:sz w:val="26"/>
          <w:szCs w:val="26"/>
        </w:rPr>
        <w:t xml:space="preserve"> quản lý hàng không Hoa Kỳ hy vọng </w:t>
      </w:r>
      <w:r>
        <w:rPr>
          <w:rStyle w:val="Emphasis"/>
          <w:rFonts w:ascii="Times New Roman" w:hAnsi="Times New Roman" w:cs="Times New Roman"/>
          <w:i w:val="0"/>
          <w:sz w:val="26"/>
          <w:szCs w:val="26"/>
        </w:rPr>
        <w:t>các</w:t>
      </w:r>
      <w:r w:rsidR="00251F6E" w:rsidRPr="00251F6E">
        <w:rPr>
          <w:rStyle w:val="Emphasis"/>
          <w:rFonts w:ascii="Times New Roman" w:hAnsi="Times New Roman" w:cs="Times New Roman"/>
          <w:i w:val="0"/>
          <w:sz w:val="26"/>
          <w:szCs w:val="26"/>
        </w:rPr>
        <w:t xml:space="preserve"> </w:t>
      </w:r>
      <w:r w:rsidRPr="00251F6E">
        <w:rPr>
          <w:rStyle w:val="Emphasis"/>
          <w:rFonts w:ascii="Times New Roman" w:hAnsi="Times New Roman" w:cs="Times New Roman"/>
          <w:i w:val="0"/>
          <w:sz w:val="26"/>
          <w:szCs w:val="26"/>
        </w:rPr>
        <w:t xml:space="preserve">đề xuất </w:t>
      </w:r>
      <w:r w:rsidR="00251F6E" w:rsidRPr="00251F6E">
        <w:rPr>
          <w:rStyle w:val="Emphasis"/>
          <w:rFonts w:ascii="Times New Roman" w:hAnsi="Times New Roman" w:cs="Times New Roman"/>
          <w:i w:val="0"/>
          <w:sz w:val="26"/>
          <w:szCs w:val="26"/>
        </w:rPr>
        <w:t xml:space="preserve">sửa chữa phần mềm của Boeing cho </w:t>
      </w:r>
      <w:r>
        <w:rPr>
          <w:rStyle w:val="Emphasis"/>
          <w:rFonts w:ascii="Times New Roman" w:hAnsi="Times New Roman" w:cs="Times New Roman"/>
          <w:i w:val="0"/>
          <w:sz w:val="26"/>
          <w:szCs w:val="26"/>
        </w:rPr>
        <w:t xml:space="preserve">dòng </w:t>
      </w:r>
      <w:r w:rsidR="00251F6E" w:rsidRPr="00251F6E">
        <w:rPr>
          <w:rStyle w:val="Emphasis"/>
          <w:rFonts w:ascii="Times New Roman" w:hAnsi="Times New Roman" w:cs="Times New Roman"/>
          <w:i w:val="0"/>
          <w:sz w:val="26"/>
          <w:szCs w:val="26"/>
        </w:rPr>
        <w:t>máy bay</w:t>
      </w:r>
      <w:r>
        <w:rPr>
          <w:rStyle w:val="Emphasis"/>
          <w:rFonts w:ascii="Times New Roman" w:hAnsi="Times New Roman" w:cs="Times New Roman"/>
          <w:i w:val="0"/>
          <w:sz w:val="26"/>
          <w:szCs w:val="26"/>
        </w:rPr>
        <w:t xml:space="preserve"> này sẽ sớm được thực hiện</w:t>
      </w:r>
      <w:r w:rsidR="00251F6E" w:rsidRPr="00251F6E">
        <w:rPr>
          <w:rStyle w:val="Emphasis"/>
          <w:rFonts w:ascii="Times New Roman" w:hAnsi="Times New Roman" w:cs="Times New Roman"/>
          <w:i w:val="0"/>
          <w:sz w:val="26"/>
          <w:szCs w:val="26"/>
        </w:rPr>
        <w:t>, và sau đó sẽ bắt đầu xem xét lại các chuyến bay thử nghiệm và đầu vào từ một ban cố vấn kỹ thuậ</w:t>
      </w:r>
      <w:r w:rsidR="006415B7">
        <w:rPr>
          <w:rStyle w:val="Emphasis"/>
          <w:rFonts w:ascii="Times New Roman" w:hAnsi="Times New Roman" w:cs="Times New Roman"/>
          <w:i w:val="0"/>
          <w:sz w:val="26"/>
          <w:szCs w:val="26"/>
        </w:rPr>
        <w:t>t.</w:t>
      </w:r>
    </w:p>
    <w:p w:rsidR="00251F6E" w:rsidRPr="0014653E" w:rsidRDefault="00251F6E" w:rsidP="00251F6E">
      <w:pPr>
        <w:shd w:val="clear" w:color="auto" w:fill="FFFFFF"/>
        <w:spacing w:after="177" w:line="312" w:lineRule="auto"/>
        <w:ind w:firstLine="720"/>
        <w:jc w:val="both"/>
        <w:rPr>
          <w:rStyle w:val="Emphasis"/>
          <w:rFonts w:ascii="Times New Roman" w:hAnsi="Times New Roman" w:cs="Times New Roman"/>
          <w:i w:val="0"/>
          <w:sz w:val="26"/>
          <w:szCs w:val="26"/>
        </w:rPr>
      </w:pPr>
      <w:proofErr w:type="gramStart"/>
      <w:r w:rsidRPr="00251F6E">
        <w:rPr>
          <w:rStyle w:val="Emphasis"/>
          <w:rFonts w:ascii="Times New Roman" w:hAnsi="Times New Roman" w:cs="Times New Roman"/>
          <w:i w:val="0"/>
          <w:sz w:val="26"/>
          <w:szCs w:val="26"/>
        </w:rPr>
        <w:t>Trong khi đó, Boeing đang hoàn thiện bản cập nhật cho một hệ thống phần mềm liên quan đến cả hai sự cố.</w:t>
      </w:r>
      <w:proofErr w:type="gramEnd"/>
      <w:r w:rsidRPr="00251F6E">
        <w:rPr>
          <w:rStyle w:val="Emphasis"/>
          <w:rFonts w:ascii="Times New Roman" w:hAnsi="Times New Roman" w:cs="Times New Roman"/>
          <w:i w:val="0"/>
          <w:sz w:val="26"/>
          <w:szCs w:val="26"/>
        </w:rPr>
        <w:t xml:space="preserve"> </w:t>
      </w:r>
      <w:proofErr w:type="gramStart"/>
      <w:r w:rsidRPr="00251F6E">
        <w:rPr>
          <w:rStyle w:val="Emphasis"/>
          <w:rFonts w:ascii="Times New Roman" w:hAnsi="Times New Roman" w:cs="Times New Roman"/>
          <w:i w:val="0"/>
          <w:sz w:val="26"/>
          <w:szCs w:val="26"/>
        </w:rPr>
        <w:t>Chuyến bay 610 của Lion Air là chiếc Max đầu tiên gặp nạn, ở vùng biển ngoài khơi Indonesia vào cuối tháng 10</w:t>
      </w:r>
      <w:r w:rsidR="00A964EA">
        <w:rPr>
          <w:rStyle w:val="Emphasis"/>
          <w:rFonts w:ascii="Times New Roman" w:hAnsi="Times New Roman" w:cs="Times New Roman"/>
          <w:i w:val="0"/>
          <w:sz w:val="26"/>
          <w:szCs w:val="26"/>
        </w:rPr>
        <w:t>/2019 làm tử vong</w:t>
      </w:r>
      <w:r w:rsidRPr="00251F6E">
        <w:rPr>
          <w:rStyle w:val="Emphasis"/>
          <w:rFonts w:ascii="Times New Roman" w:hAnsi="Times New Roman" w:cs="Times New Roman"/>
          <w:i w:val="0"/>
          <w:sz w:val="26"/>
          <w:szCs w:val="26"/>
        </w:rPr>
        <w:t xml:space="preserve"> 189 người trên máy bay.</w:t>
      </w:r>
      <w:proofErr w:type="gramEnd"/>
      <w:r w:rsidRPr="00251F6E">
        <w:rPr>
          <w:rStyle w:val="Emphasis"/>
          <w:rFonts w:ascii="Times New Roman" w:hAnsi="Times New Roman" w:cs="Times New Roman"/>
          <w:i w:val="0"/>
          <w:sz w:val="26"/>
          <w:szCs w:val="26"/>
        </w:rPr>
        <w:t xml:space="preserve"> </w:t>
      </w:r>
      <w:proofErr w:type="gramStart"/>
      <w:r w:rsidRPr="00251F6E">
        <w:rPr>
          <w:rStyle w:val="Emphasis"/>
          <w:rFonts w:ascii="Times New Roman" w:hAnsi="Times New Roman" w:cs="Times New Roman"/>
          <w:i w:val="0"/>
          <w:sz w:val="26"/>
          <w:szCs w:val="26"/>
        </w:rPr>
        <w:t>Chưa đầy năm tháng sau, một chiếc Max thứ hai đã bị rơi ở Ethiopia, khiến 157 hành khách thiệt mạng.</w:t>
      </w:r>
      <w:proofErr w:type="gramEnd"/>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19" w:name="_Toc5634791"/>
      <w:r w:rsidRPr="00105E9D">
        <w:rPr>
          <w:rFonts w:ascii="Times New Roman" w:hAnsi="Times New Roman" w:cs="Times New Roman"/>
          <w:b/>
          <w:sz w:val="26"/>
          <w:szCs w:val="26"/>
        </w:rPr>
        <w:t>Các hoạt động khác:</w:t>
      </w:r>
      <w:bookmarkEnd w:id="19"/>
    </w:p>
    <w:p w:rsidR="00BB1026" w:rsidRPr="003243B3" w:rsidRDefault="00606F25" w:rsidP="003243B3">
      <w:pPr>
        <w:pStyle w:val="ListParagraph"/>
        <w:numPr>
          <w:ilvl w:val="1"/>
          <w:numId w:val="1"/>
        </w:numPr>
        <w:spacing w:line="312" w:lineRule="auto"/>
        <w:outlineLvl w:val="1"/>
        <w:rPr>
          <w:rFonts w:ascii="Times New Roman" w:hAnsi="Times New Roman" w:cs="Times New Roman"/>
          <w:b/>
          <w:i/>
          <w:sz w:val="26"/>
          <w:szCs w:val="26"/>
        </w:rPr>
      </w:pPr>
      <w:bookmarkStart w:id="20" w:name="_Toc5634792"/>
      <w:r w:rsidRPr="00C45DE0">
        <w:rPr>
          <w:rFonts w:ascii="Times New Roman" w:hAnsi="Times New Roman" w:cs="Times New Roman"/>
          <w:b/>
          <w:i/>
          <w:sz w:val="26"/>
          <w:szCs w:val="26"/>
        </w:rPr>
        <w:t>Cảng biển</w:t>
      </w:r>
      <w:bookmarkEnd w:id="20"/>
    </w:p>
    <w:p w:rsidR="00796204" w:rsidRPr="00796204" w:rsidRDefault="005A19B4" w:rsidP="00695CDC">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Theo số liệu của Cơ quan thống kê quốc gia Trung Quốc, vận chuyển hàng hóa tại các cảng </w:t>
      </w:r>
      <w:r w:rsidR="006849F8">
        <w:rPr>
          <w:rStyle w:val="Emphasis"/>
          <w:rFonts w:ascii="Times New Roman" w:hAnsi="Times New Roman" w:cs="Times New Roman"/>
          <w:i w:val="0"/>
          <w:sz w:val="26"/>
          <w:szCs w:val="26"/>
        </w:rPr>
        <w:t xml:space="preserve">biển cấp quốc gia của Trung Quốc đạt </w:t>
      </w:r>
      <w:r w:rsidR="00695CDC">
        <w:rPr>
          <w:rStyle w:val="Emphasis"/>
          <w:rFonts w:ascii="Times New Roman" w:hAnsi="Times New Roman" w:cs="Times New Roman"/>
          <w:i w:val="0"/>
          <w:sz w:val="26"/>
          <w:szCs w:val="26"/>
        </w:rPr>
        <w:t>4,29</w:t>
      </w:r>
      <w:r w:rsidR="006849F8">
        <w:rPr>
          <w:rStyle w:val="Emphasis"/>
          <w:rFonts w:ascii="Times New Roman" w:hAnsi="Times New Roman" w:cs="Times New Roman"/>
          <w:i w:val="0"/>
          <w:sz w:val="26"/>
          <w:szCs w:val="26"/>
        </w:rPr>
        <w:t xml:space="preserve"> tỷ tấn trong </w:t>
      </w:r>
      <w:r w:rsidR="00695CDC">
        <w:rPr>
          <w:rStyle w:val="Emphasis"/>
          <w:rFonts w:ascii="Times New Roman" w:hAnsi="Times New Roman" w:cs="Times New Roman"/>
          <w:i w:val="0"/>
          <w:sz w:val="26"/>
          <w:szCs w:val="26"/>
        </w:rPr>
        <w:t>4</w:t>
      </w:r>
      <w:r w:rsidR="006849F8">
        <w:rPr>
          <w:rStyle w:val="Emphasis"/>
          <w:rFonts w:ascii="Times New Roman" w:hAnsi="Times New Roman" w:cs="Times New Roman"/>
          <w:i w:val="0"/>
          <w:sz w:val="26"/>
          <w:szCs w:val="26"/>
        </w:rPr>
        <w:t xml:space="preserve"> tháng đầu năm nay, tăng </w:t>
      </w:r>
      <w:r w:rsidR="00B93841">
        <w:rPr>
          <w:rStyle w:val="Emphasis"/>
          <w:rFonts w:ascii="Times New Roman" w:hAnsi="Times New Roman" w:cs="Times New Roman"/>
          <w:i w:val="0"/>
          <w:sz w:val="26"/>
          <w:szCs w:val="26"/>
        </w:rPr>
        <w:t>4,</w:t>
      </w:r>
      <w:r w:rsidR="00695CDC">
        <w:rPr>
          <w:rStyle w:val="Emphasis"/>
          <w:rFonts w:ascii="Times New Roman" w:hAnsi="Times New Roman" w:cs="Times New Roman"/>
          <w:i w:val="0"/>
          <w:sz w:val="26"/>
          <w:szCs w:val="26"/>
        </w:rPr>
        <w:t>2</w:t>
      </w:r>
      <w:r w:rsidR="006849F8">
        <w:rPr>
          <w:rStyle w:val="Emphasis"/>
          <w:rFonts w:ascii="Times New Roman" w:hAnsi="Times New Roman" w:cs="Times New Roman"/>
          <w:i w:val="0"/>
          <w:sz w:val="26"/>
          <w:szCs w:val="26"/>
        </w:rPr>
        <w:t xml:space="preserve">% so với cùng kỳ năm trước. Trong đó, </w:t>
      </w:r>
      <w:r w:rsidR="00695CDC">
        <w:rPr>
          <w:rStyle w:val="Emphasis"/>
          <w:rFonts w:ascii="Times New Roman" w:hAnsi="Times New Roman" w:cs="Times New Roman"/>
          <w:i w:val="0"/>
          <w:sz w:val="26"/>
          <w:szCs w:val="26"/>
        </w:rPr>
        <w:t>các cảng duyên hải đảm nhận 2</w:t>
      </w:r>
      <w:proofErr w:type="gramStart"/>
      <w:r w:rsidR="00695CDC">
        <w:rPr>
          <w:rStyle w:val="Emphasis"/>
          <w:rFonts w:ascii="Times New Roman" w:hAnsi="Times New Roman" w:cs="Times New Roman"/>
          <w:i w:val="0"/>
          <w:sz w:val="26"/>
          <w:szCs w:val="26"/>
        </w:rPr>
        <w:t>,91</w:t>
      </w:r>
      <w:proofErr w:type="gramEnd"/>
      <w:r w:rsidR="00695CDC">
        <w:rPr>
          <w:rStyle w:val="Emphasis"/>
          <w:rFonts w:ascii="Times New Roman" w:hAnsi="Times New Roman" w:cs="Times New Roman"/>
          <w:i w:val="0"/>
          <w:sz w:val="26"/>
          <w:szCs w:val="26"/>
        </w:rPr>
        <w:t xml:space="preserve"> tỷ tấn hàng hóa, tăng 2,9% so với cùng kỳ năm trước. </w:t>
      </w:r>
    </w:p>
    <w:p w:rsidR="00695CDC" w:rsidRPr="00695CDC" w:rsidRDefault="00695CDC" w:rsidP="002A65E7">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Hàng hóa ngoại thương thông qua cảng Thiên Tân (một cảng ở phía Bắc</w:t>
      </w:r>
      <w:r w:rsidRPr="00695CDC">
        <w:rPr>
          <w:rStyle w:val="Emphasis"/>
          <w:rFonts w:ascii="Times New Roman" w:hAnsi="Times New Roman" w:cs="Times New Roman"/>
          <w:i w:val="0"/>
          <w:sz w:val="26"/>
          <w:szCs w:val="26"/>
        </w:rPr>
        <w:t xml:space="preserve"> Trung Quốc đã tăng 7</w:t>
      </w:r>
      <w:proofErr w:type="gramStart"/>
      <w:r w:rsidRPr="00695CDC">
        <w:rPr>
          <w:rStyle w:val="Emphasis"/>
          <w:rFonts w:ascii="Times New Roman" w:hAnsi="Times New Roman" w:cs="Times New Roman"/>
          <w:i w:val="0"/>
          <w:sz w:val="26"/>
          <w:szCs w:val="26"/>
        </w:rPr>
        <w:t>,8</w:t>
      </w:r>
      <w:proofErr w:type="gramEnd"/>
      <w:r w:rsidRPr="00695CDC">
        <w:rPr>
          <w:rStyle w:val="Emphasis"/>
          <w:rFonts w:ascii="Times New Roman" w:hAnsi="Times New Roman" w:cs="Times New Roman"/>
          <w:i w:val="0"/>
          <w:sz w:val="26"/>
          <w:szCs w:val="26"/>
        </w:rPr>
        <w:t>% so với cùng kỳ trong bốn tháng đầu năm do nhập khẩu mạ</w:t>
      </w:r>
      <w:r>
        <w:rPr>
          <w:rStyle w:val="Emphasis"/>
          <w:rFonts w:ascii="Times New Roman" w:hAnsi="Times New Roman" w:cs="Times New Roman"/>
          <w:i w:val="0"/>
          <w:sz w:val="26"/>
          <w:szCs w:val="26"/>
        </w:rPr>
        <w:t>nh hơn. Theo số liệu của Cơ quan Hải quan Thiên Tân, g</w:t>
      </w:r>
      <w:r w:rsidRPr="00695CDC">
        <w:rPr>
          <w:rStyle w:val="Emphasis"/>
          <w:rFonts w:ascii="Times New Roman" w:hAnsi="Times New Roman" w:cs="Times New Roman"/>
          <w:i w:val="0"/>
          <w:sz w:val="26"/>
          <w:szCs w:val="26"/>
        </w:rPr>
        <w:t>iá trị thương mại đạt 441</w:t>
      </w:r>
      <w:proofErr w:type="gramStart"/>
      <w:r w:rsidRPr="00695CDC">
        <w:rPr>
          <w:rStyle w:val="Emphasis"/>
          <w:rFonts w:ascii="Times New Roman" w:hAnsi="Times New Roman" w:cs="Times New Roman"/>
          <w:i w:val="0"/>
          <w:sz w:val="26"/>
          <w:szCs w:val="26"/>
        </w:rPr>
        <w:t>,6</w:t>
      </w:r>
      <w:proofErr w:type="gramEnd"/>
      <w:r w:rsidRPr="00695CDC">
        <w:rPr>
          <w:rStyle w:val="Emphasis"/>
          <w:rFonts w:ascii="Times New Roman" w:hAnsi="Times New Roman" w:cs="Times New Roman"/>
          <w:i w:val="0"/>
          <w:sz w:val="26"/>
          <w:szCs w:val="26"/>
        </w:rPr>
        <w:t xml:space="preserve"> tỷ nhân dân tệ (63,9 tỷ đô la Mỹ) trong </w:t>
      </w:r>
      <w:r>
        <w:rPr>
          <w:rStyle w:val="Emphasis"/>
          <w:rFonts w:ascii="Times New Roman" w:hAnsi="Times New Roman" w:cs="Times New Roman"/>
          <w:i w:val="0"/>
          <w:sz w:val="26"/>
          <w:szCs w:val="26"/>
        </w:rPr>
        <w:t>4 tháng đầ</w:t>
      </w:r>
      <w:r w:rsidR="002A65E7">
        <w:rPr>
          <w:rStyle w:val="Emphasis"/>
          <w:rFonts w:ascii="Times New Roman" w:hAnsi="Times New Roman" w:cs="Times New Roman"/>
          <w:i w:val="0"/>
          <w:sz w:val="26"/>
          <w:szCs w:val="26"/>
        </w:rPr>
        <w:t xml:space="preserve">u năm 2019. </w:t>
      </w:r>
      <w:r w:rsidRPr="00695CDC">
        <w:rPr>
          <w:rStyle w:val="Emphasis"/>
          <w:rFonts w:ascii="Times New Roman" w:hAnsi="Times New Roman" w:cs="Times New Roman"/>
          <w:i w:val="0"/>
          <w:sz w:val="26"/>
          <w:szCs w:val="26"/>
        </w:rPr>
        <w:t>Xuất khẩu tăng 2,1% so với cùng kỳ lên tới 207,1 tỷ nhân dân tệ trong khi nhập khẩu tăng 13,4% lên mức 234,5 tỷ nhân dân tệ, cơ quan hải quan cho biết.</w:t>
      </w:r>
      <w:r>
        <w:rPr>
          <w:rStyle w:val="Emphasis"/>
          <w:rFonts w:ascii="Times New Roman" w:hAnsi="Times New Roman" w:cs="Times New Roman"/>
          <w:i w:val="0"/>
          <w:sz w:val="26"/>
          <w:szCs w:val="26"/>
        </w:rPr>
        <w:t xml:space="preserve"> </w:t>
      </w:r>
      <w:r w:rsidRPr="00695CDC">
        <w:rPr>
          <w:rStyle w:val="Emphasis"/>
          <w:rFonts w:ascii="Times New Roman" w:hAnsi="Times New Roman" w:cs="Times New Roman"/>
          <w:i w:val="0"/>
          <w:sz w:val="26"/>
          <w:szCs w:val="26"/>
        </w:rPr>
        <w:t>Chỉ riêng ngoạ</w:t>
      </w:r>
      <w:r>
        <w:rPr>
          <w:rStyle w:val="Emphasis"/>
          <w:rFonts w:ascii="Times New Roman" w:hAnsi="Times New Roman" w:cs="Times New Roman"/>
          <w:i w:val="0"/>
          <w:sz w:val="26"/>
          <w:szCs w:val="26"/>
        </w:rPr>
        <w:t xml:space="preserve">i thương trong tháng 4/2019 </w:t>
      </w:r>
      <w:r w:rsidRPr="00695CDC">
        <w:rPr>
          <w:rStyle w:val="Emphasis"/>
          <w:rFonts w:ascii="Times New Roman" w:hAnsi="Times New Roman" w:cs="Times New Roman"/>
          <w:i w:val="0"/>
          <w:sz w:val="26"/>
          <w:szCs w:val="26"/>
        </w:rPr>
        <w:t>đã tăng trưởng với tốc độ</w:t>
      </w:r>
      <w:r w:rsidR="00A964EA">
        <w:rPr>
          <w:rStyle w:val="Emphasis"/>
          <w:rFonts w:ascii="Times New Roman" w:hAnsi="Times New Roman" w:cs="Times New Roman"/>
          <w:i w:val="0"/>
          <w:sz w:val="26"/>
          <w:szCs w:val="26"/>
        </w:rPr>
        <w:t xml:space="preserve"> hàng năm </w:t>
      </w:r>
      <w:r w:rsidRPr="00695CDC">
        <w:rPr>
          <w:rStyle w:val="Emphasis"/>
          <w:rFonts w:ascii="Times New Roman" w:hAnsi="Times New Roman" w:cs="Times New Roman"/>
          <w:i w:val="0"/>
          <w:sz w:val="26"/>
          <w:szCs w:val="26"/>
        </w:rPr>
        <w:t>hơn 14</w:t>
      </w:r>
      <w:proofErr w:type="gramStart"/>
      <w:r w:rsidRPr="00695CDC">
        <w:rPr>
          <w:rStyle w:val="Emphasis"/>
          <w:rFonts w:ascii="Times New Roman" w:hAnsi="Times New Roman" w:cs="Times New Roman"/>
          <w:i w:val="0"/>
          <w:sz w:val="26"/>
          <w:szCs w:val="26"/>
        </w:rPr>
        <w:t>,2</w:t>
      </w:r>
      <w:proofErr w:type="gramEnd"/>
      <w:r w:rsidRPr="00695CDC">
        <w:rPr>
          <w:rStyle w:val="Emphasis"/>
          <w:rFonts w:ascii="Times New Roman" w:hAnsi="Times New Roman" w:cs="Times New Roman"/>
          <w:i w:val="0"/>
          <w:sz w:val="26"/>
          <w:szCs w:val="26"/>
        </w:rPr>
        <w:t>% lên 118,2 tỷ nhân dân tệ.</w:t>
      </w:r>
      <w:r>
        <w:rPr>
          <w:rStyle w:val="Emphasis"/>
          <w:rFonts w:ascii="Times New Roman" w:hAnsi="Times New Roman" w:cs="Times New Roman"/>
          <w:i w:val="0"/>
          <w:sz w:val="26"/>
          <w:szCs w:val="26"/>
        </w:rPr>
        <w:t xml:space="preserve"> </w:t>
      </w:r>
      <w:r w:rsidRPr="00695CDC">
        <w:rPr>
          <w:rStyle w:val="Emphasis"/>
          <w:rFonts w:ascii="Times New Roman" w:hAnsi="Times New Roman" w:cs="Times New Roman"/>
          <w:i w:val="0"/>
          <w:sz w:val="26"/>
          <w:szCs w:val="26"/>
        </w:rPr>
        <w:t xml:space="preserve">Ba </w:t>
      </w:r>
      <w:r>
        <w:rPr>
          <w:rStyle w:val="Emphasis"/>
          <w:rFonts w:ascii="Times New Roman" w:hAnsi="Times New Roman" w:cs="Times New Roman"/>
          <w:i w:val="0"/>
          <w:sz w:val="26"/>
          <w:szCs w:val="26"/>
        </w:rPr>
        <w:t>nhóm hàng</w:t>
      </w:r>
      <w:r w:rsidRPr="00695CDC">
        <w:rPr>
          <w:rStyle w:val="Emphasis"/>
          <w:rFonts w:ascii="Times New Roman" w:hAnsi="Times New Roman" w:cs="Times New Roman"/>
          <w:i w:val="0"/>
          <w:sz w:val="26"/>
          <w:szCs w:val="26"/>
        </w:rPr>
        <w:t xml:space="preserve"> xuất khẩu </w:t>
      </w:r>
      <w:r>
        <w:rPr>
          <w:rStyle w:val="Emphasis"/>
          <w:rFonts w:ascii="Times New Roman" w:hAnsi="Times New Roman" w:cs="Times New Roman"/>
          <w:i w:val="0"/>
          <w:sz w:val="26"/>
          <w:szCs w:val="26"/>
        </w:rPr>
        <w:t>chính qua cảng này gồm có</w:t>
      </w:r>
      <w:r w:rsidRPr="00695CDC">
        <w:rPr>
          <w:rStyle w:val="Emphasis"/>
          <w:rFonts w:ascii="Times New Roman" w:hAnsi="Times New Roman" w:cs="Times New Roman"/>
          <w:i w:val="0"/>
          <w:sz w:val="26"/>
          <w:szCs w:val="26"/>
        </w:rPr>
        <w:t xml:space="preserve"> thép, nông sản và dệt may trong khi ba sản phẩm nhập khẩu hàng đầu là ô tô, nông sản và dầ</w:t>
      </w:r>
      <w:r w:rsidR="002A65E7">
        <w:rPr>
          <w:rStyle w:val="Emphasis"/>
          <w:rFonts w:ascii="Times New Roman" w:hAnsi="Times New Roman" w:cs="Times New Roman"/>
          <w:i w:val="0"/>
          <w:sz w:val="26"/>
          <w:szCs w:val="26"/>
        </w:rPr>
        <w:t>u thô.</w:t>
      </w:r>
    </w:p>
    <w:p w:rsidR="009C5405" w:rsidRPr="00796204" w:rsidRDefault="00695CDC" w:rsidP="002A65E7">
      <w:pPr>
        <w:shd w:val="clear" w:color="auto" w:fill="FFFFFF"/>
        <w:spacing w:after="177" w:line="312" w:lineRule="auto"/>
        <w:ind w:firstLine="720"/>
        <w:jc w:val="both"/>
        <w:rPr>
          <w:rStyle w:val="Emphasis"/>
          <w:rFonts w:ascii="Times New Roman" w:hAnsi="Times New Roman" w:cs="Times New Roman"/>
          <w:i w:val="0"/>
          <w:sz w:val="26"/>
          <w:szCs w:val="26"/>
        </w:rPr>
      </w:pPr>
      <w:r w:rsidRPr="00695CDC">
        <w:rPr>
          <w:rStyle w:val="Emphasis"/>
          <w:rFonts w:ascii="Times New Roman" w:hAnsi="Times New Roman" w:cs="Times New Roman"/>
          <w:i w:val="0"/>
          <w:sz w:val="26"/>
          <w:szCs w:val="26"/>
        </w:rPr>
        <w:t>Khí đốt tự nhiên và dầu thô đã thúc đẩy tăng trưởng nhập khẩu tăng 5</w:t>
      </w:r>
      <w:proofErr w:type="gramStart"/>
      <w:r w:rsidRPr="00695CDC">
        <w:rPr>
          <w:rStyle w:val="Emphasis"/>
          <w:rFonts w:ascii="Times New Roman" w:hAnsi="Times New Roman" w:cs="Times New Roman"/>
          <w:i w:val="0"/>
          <w:sz w:val="26"/>
          <w:szCs w:val="26"/>
        </w:rPr>
        <w:t>,6</w:t>
      </w:r>
      <w:proofErr w:type="gramEnd"/>
      <w:r w:rsidRPr="00695CDC">
        <w:rPr>
          <w:rStyle w:val="Emphasis"/>
          <w:rFonts w:ascii="Times New Roman" w:hAnsi="Times New Roman" w:cs="Times New Roman"/>
          <w:i w:val="0"/>
          <w:sz w:val="26"/>
          <w:szCs w:val="26"/>
        </w:rPr>
        <w:t xml:space="preserve"> điểm phần trăm. Trong bốn tháng</w:t>
      </w:r>
      <w:r w:rsidR="002A65E7">
        <w:rPr>
          <w:rStyle w:val="Emphasis"/>
          <w:rFonts w:ascii="Times New Roman" w:hAnsi="Times New Roman" w:cs="Times New Roman"/>
          <w:i w:val="0"/>
          <w:sz w:val="26"/>
          <w:szCs w:val="26"/>
        </w:rPr>
        <w:t xml:space="preserve"> đầu năm nay</w:t>
      </w:r>
      <w:r w:rsidRPr="00695CDC">
        <w:rPr>
          <w:rStyle w:val="Emphasis"/>
          <w:rFonts w:ascii="Times New Roman" w:hAnsi="Times New Roman" w:cs="Times New Roman"/>
          <w:i w:val="0"/>
          <w:sz w:val="26"/>
          <w:szCs w:val="26"/>
        </w:rPr>
        <w:t>, nhập khẩu khí đốt tự nhiên đạt 3,1 triệu tấn, tăng 110% so với cùng kỳ năm ngoái, trong khi giá trị nhập khẩu tăng 170% lên 12,5 tỷ nhân dân tệ.</w:t>
      </w:r>
    </w:p>
    <w:p w:rsidR="00BE6124" w:rsidRPr="002A65E7" w:rsidRDefault="00AF56B2" w:rsidP="002A65E7">
      <w:pPr>
        <w:pStyle w:val="ListParagraph"/>
        <w:numPr>
          <w:ilvl w:val="1"/>
          <w:numId w:val="1"/>
        </w:numPr>
        <w:spacing w:line="312" w:lineRule="auto"/>
        <w:outlineLvl w:val="1"/>
        <w:rPr>
          <w:rStyle w:val="Emphasis"/>
          <w:rFonts w:ascii="Times New Roman" w:hAnsi="Times New Roman" w:cs="Times New Roman"/>
          <w:b/>
          <w:i w:val="0"/>
          <w:sz w:val="26"/>
          <w:szCs w:val="26"/>
        </w:rPr>
      </w:pPr>
      <w:bookmarkStart w:id="21" w:name="_Toc5634793"/>
      <w:r w:rsidRPr="00AF56B2">
        <w:rPr>
          <w:rFonts w:ascii="Times New Roman" w:hAnsi="Times New Roman" w:cs="Times New Roman"/>
          <w:b/>
          <w:i/>
          <w:sz w:val="26"/>
          <w:szCs w:val="26"/>
        </w:rPr>
        <w:lastRenderedPageBreak/>
        <w:t>Logistics cho t</w:t>
      </w:r>
      <w:r w:rsidR="00CE5DF4" w:rsidRPr="00AF56B2">
        <w:rPr>
          <w:rFonts w:ascii="Times New Roman" w:hAnsi="Times New Roman" w:cs="Times New Roman"/>
          <w:b/>
          <w:i/>
          <w:sz w:val="26"/>
          <w:szCs w:val="26"/>
        </w:rPr>
        <w:t>hương mại điện tử, kho bãi, giao nhận:</w:t>
      </w:r>
      <w:bookmarkEnd w:id="21"/>
    </w:p>
    <w:p w:rsidR="002A65E7" w:rsidRPr="002A65E7" w:rsidRDefault="002A65E7" w:rsidP="002A65E7">
      <w:pPr>
        <w:shd w:val="clear" w:color="auto" w:fill="FFFFFF"/>
        <w:spacing w:after="177" w:line="312" w:lineRule="auto"/>
        <w:ind w:firstLine="720"/>
        <w:jc w:val="both"/>
        <w:rPr>
          <w:rStyle w:val="Emphasis"/>
          <w:rFonts w:ascii="Times New Roman" w:hAnsi="Times New Roman" w:cs="Times New Roman"/>
          <w:i w:val="0"/>
          <w:sz w:val="26"/>
          <w:szCs w:val="26"/>
        </w:rPr>
      </w:pPr>
      <w:r w:rsidRPr="002A65E7">
        <w:rPr>
          <w:rStyle w:val="Emphasis"/>
          <w:rFonts w:ascii="Times New Roman" w:hAnsi="Times New Roman" w:cs="Times New Roman"/>
          <w:i w:val="0"/>
          <w:sz w:val="26"/>
          <w:szCs w:val="26"/>
        </w:rPr>
        <w:t>Cuộ</w:t>
      </w:r>
      <w:r w:rsidR="00FB1597">
        <w:rPr>
          <w:rStyle w:val="Emphasis"/>
          <w:rFonts w:ascii="Times New Roman" w:hAnsi="Times New Roman" w:cs="Times New Roman"/>
          <w:i w:val="0"/>
          <w:sz w:val="26"/>
          <w:szCs w:val="26"/>
        </w:rPr>
        <w:t>c “di cư”</w:t>
      </w:r>
      <w:r w:rsidRPr="002A65E7">
        <w:rPr>
          <w:rStyle w:val="Emphasis"/>
          <w:rFonts w:ascii="Times New Roman" w:hAnsi="Times New Roman" w:cs="Times New Roman"/>
          <w:i w:val="0"/>
          <w:sz w:val="26"/>
          <w:szCs w:val="26"/>
        </w:rPr>
        <w:t xml:space="preserve"> sản xuất</w:t>
      </w:r>
      <w:r>
        <w:rPr>
          <w:rStyle w:val="Emphasis"/>
          <w:rFonts w:ascii="Times New Roman" w:hAnsi="Times New Roman" w:cs="Times New Roman"/>
          <w:i w:val="0"/>
          <w:sz w:val="26"/>
          <w:szCs w:val="26"/>
        </w:rPr>
        <w:t xml:space="preserve"> do</w:t>
      </w:r>
      <w:r w:rsidRPr="002A65E7">
        <w:rPr>
          <w:rStyle w:val="Emphasis"/>
          <w:rFonts w:ascii="Times New Roman" w:hAnsi="Times New Roman" w:cs="Times New Roman"/>
          <w:i w:val="0"/>
          <w:sz w:val="26"/>
          <w:szCs w:val="26"/>
        </w:rPr>
        <w:t xml:space="preserve"> chiến tranh thương mại Mỹ-Trung </w:t>
      </w:r>
      <w:r>
        <w:rPr>
          <w:rStyle w:val="Emphasis"/>
          <w:rFonts w:ascii="Times New Roman" w:hAnsi="Times New Roman" w:cs="Times New Roman"/>
          <w:i w:val="0"/>
          <w:sz w:val="26"/>
          <w:szCs w:val="26"/>
        </w:rPr>
        <w:t xml:space="preserve">thúc đẩy sự </w:t>
      </w:r>
      <w:r w:rsidRPr="002A65E7">
        <w:rPr>
          <w:rStyle w:val="Emphasis"/>
          <w:rFonts w:ascii="Times New Roman" w:hAnsi="Times New Roman" w:cs="Times New Roman"/>
          <w:i w:val="0"/>
          <w:sz w:val="26"/>
          <w:szCs w:val="26"/>
        </w:rPr>
        <w:t xml:space="preserve">bùng nổ cho các công ty </w:t>
      </w:r>
      <w:r w:rsidR="00A301FE">
        <w:rPr>
          <w:rStyle w:val="Emphasis"/>
          <w:rFonts w:ascii="Times New Roman" w:hAnsi="Times New Roman" w:cs="Times New Roman"/>
          <w:i w:val="0"/>
          <w:sz w:val="26"/>
          <w:szCs w:val="26"/>
        </w:rPr>
        <w:t>logistics</w:t>
      </w:r>
      <w:r w:rsidRPr="002A65E7">
        <w:rPr>
          <w:rStyle w:val="Emphasis"/>
          <w:rFonts w:ascii="Times New Roman" w:hAnsi="Times New Roman" w:cs="Times New Roman"/>
          <w:i w:val="0"/>
          <w:sz w:val="26"/>
          <w:szCs w:val="26"/>
        </w:rPr>
        <w:t xml:space="preserve"> Trung Quố</w:t>
      </w:r>
      <w:r>
        <w:rPr>
          <w:rStyle w:val="Emphasis"/>
          <w:rFonts w:ascii="Times New Roman" w:hAnsi="Times New Roman" w:cs="Times New Roman"/>
          <w:i w:val="0"/>
          <w:sz w:val="26"/>
          <w:szCs w:val="26"/>
        </w:rPr>
        <w:t>c. C</w:t>
      </w:r>
      <w:r w:rsidRPr="002A65E7">
        <w:rPr>
          <w:rStyle w:val="Emphasis"/>
          <w:rFonts w:ascii="Times New Roman" w:hAnsi="Times New Roman" w:cs="Times New Roman"/>
          <w:i w:val="0"/>
          <w:sz w:val="26"/>
          <w:szCs w:val="26"/>
        </w:rPr>
        <w:t xml:space="preserve">ác công ty </w:t>
      </w:r>
      <w:r w:rsidR="00A301FE">
        <w:rPr>
          <w:rStyle w:val="Emphasis"/>
          <w:rFonts w:ascii="Times New Roman" w:hAnsi="Times New Roman" w:cs="Times New Roman"/>
          <w:i w:val="0"/>
          <w:sz w:val="26"/>
          <w:szCs w:val="26"/>
        </w:rPr>
        <w:t>logistics</w:t>
      </w:r>
      <w:r w:rsidRPr="002A65E7">
        <w:rPr>
          <w:rStyle w:val="Emphasis"/>
          <w:rFonts w:ascii="Times New Roman" w:hAnsi="Times New Roman" w:cs="Times New Roman"/>
          <w:i w:val="0"/>
          <w:sz w:val="26"/>
          <w:szCs w:val="26"/>
        </w:rPr>
        <w:t xml:space="preserve"> xuyên biên giới </w:t>
      </w:r>
      <w:r>
        <w:rPr>
          <w:rStyle w:val="Emphasis"/>
          <w:rFonts w:ascii="Times New Roman" w:hAnsi="Times New Roman" w:cs="Times New Roman"/>
          <w:i w:val="0"/>
          <w:sz w:val="26"/>
          <w:szCs w:val="26"/>
        </w:rPr>
        <w:t>đã gấp rút giúp</w:t>
      </w:r>
      <w:r w:rsidRPr="002A65E7">
        <w:rPr>
          <w:rStyle w:val="Emphasis"/>
          <w:rFonts w:ascii="Times New Roman" w:hAnsi="Times New Roman" w:cs="Times New Roman"/>
          <w:i w:val="0"/>
          <w:sz w:val="26"/>
          <w:szCs w:val="26"/>
        </w:rPr>
        <w:t xml:space="preserve"> các nhà sản xuất Trung Quốc</w:t>
      </w:r>
      <w:r>
        <w:rPr>
          <w:rStyle w:val="Emphasis"/>
          <w:rFonts w:ascii="Times New Roman" w:hAnsi="Times New Roman" w:cs="Times New Roman"/>
          <w:i w:val="0"/>
          <w:sz w:val="26"/>
          <w:szCs w:val="26"/>
        </w:rPr>
        <w:t xml:space="preserve"> di chuyển khỏi thị trường nội địa sang các nước lân cận. Số lượng </w:t>
      </w:r>
      <w:r w:rsidRPr="002A65E7">
        <w:rPr>
          <w:rStyle w:val="Emphasis"/>
          <w:rFonts w:ascii="Times New Roman" w:hAnsi="Times New Roman" w:cs="Times New Roman"/>
          <w:i w:val="0"/>
          <w:sz w:val="26"/>
          <w:szCs w:val="26"/>
        </w:rPr>
        <w:t xml:space="preserve">các công ty chuyển đến </w:t>
      </w:r>
      <w:r w:rsidR="00A964EA" w:rsidRPr="002A65E7">
        <w:rPr>
          <w:rStyle w:val="Emphasis"/>
          <w:rFonts w:ascii="Times New Roman" w:hAnsi="Times New Roman" w:cs="Times New Roman"/>
          <w:i w:val="0"/>
          <w:sz w:val="26"/>
          <w:szCs w:val="26"/>
        </w:rPr>
        <w:t xml:space="preserve">Đài Loan, </w:t>
      </w:r>
      <w:r w:rsidRPr="002A65E7">
        <w:rPr>
          <w:rStyle w:val="Emphasis"/>
          <w:rFonts w:ascii="Times New Roman" w:hAnsi="Times New Roman" w:cs="Times New Roman"/>
          <w:i w:val="0"/>
          <w:sz w:val="26"/>
          <w:szCs w:val="26"/>
        </w:rPr>
        <w:t xml:space="preserve">Việt Nam, Campuchia, Thái </w:t>
      </w:r>
      <w:proofErr w:type="gramStart"/>
      <w:r w:rsidRPr="002A65E7">
        <w:rPr>
          <w:rStyle w:val="Emphasis"/>
          <w:rFonts w:ascii="Times New Roman" w:hAnsi="Times New Roman" w:cs="Times New Roman"/>
          <w:i w:val="0"/>
          <w:sz w:val="26"/>
          <w:szCs w:val="26"/>
        </w:rPr>
        <w:t>Lan</w:t>
      </w:r>
      <w:proofErr w:type="gramEnd"/>
      <w:r w:rsidRPr="002A65E7">
        <w:rPr>
          <w:rStyle w:val="Emphasis"/>
          <w:rFonts w:ascii="Times New Roman" w:hAnsi="Times New Roman" w:cs="Times New Roman"/>
          <w:i w:val="0"/>
          <w:sz w:val="26"/>
          <w:szCs w:val="26"/>
        </w:rPr>
        <w:t xml:space="preserve"> và các khu vực khác của Đông Nam Á</w:t>
      </w:r>
      <w:r>
        <w:rPr>
          <w:rStyle w:val="Emphasis"/>
          <w:rFonts w:ascii="Times New Roman" w:hAnsi="Times New Roman" w:cs="Times New Roman"/>
          <w:i w:val="0"/>
          <w:sz w:val="26"/>
          <w:szCs w:val="26"/>
        </w:rPr>
        <w:t xml:space="preserve"> ngày càng tăng</w:t>
      </w:r>
      <w:r w:rsidRPr="002A65E7">
        <w:rPr>
          <w:rStyle w:val="Emphasis"/>
          <w:rFonts w:ascii="Times New Roman" w:hAnsi="Times New Roman" w:cs="Times New Roman"/>
          <w:i w:val="0"/>
          <w:sz w:val="26"/>
          <w:szCs w:val="26"/>
        </w:rPr>
        <w:t>. Điều này không chỉ do chiến tranh thương mạ</w:t>
      </w:r>
      <w:r>
        <w:rPr>
          <w:rStyle w:val="Emphasis"/>
          <w:rFonts w:ascii="Times New Roman" w:hAnsi="Times New Roman" w:cs="Times New Roman"/>
          <w:i w:val="0"/>
          <w:sz w:val="26"/>
          <w:szCs w:val="26"/>
        </w:rPr>
        <w:t xml:space="preserve">i, mà còn do </w:t>
      </w:r>
      <w:r w:rsidRPr="002A65E7">
        <w:rPr>
          <w:rStyle w:val="Emphasis"/>
          <w:rFonts w:ascii="Times New Roman" w:hAnsi="Times New Roman" w:cs="Times New Roman"/>
          <w:i w:val="0"/>
          <w:sz w:val="26"/>
          <w:szCs w:val="26"/>
        </w:rPr>
        <w:t xml:space="preserve">chi phí </w:t>
      </w:r>
      <w:proofErr w:type="gramStart"/>
      <w:r w:rsidRPr="002A65E7">
        <w:rPr>
          <w:rStyle w:val="Emphasis"/>
          <w:rFonts w:ascii="Times New Roman" w:hAnsi="Times New Roman" w:cs="Times New Roman"/>
          <w:i w:val="0"/>
          <w:sz w:val="26"/>
          <w:szCs w:val="26"/>
        </w:rPr>
        <w:t>lao</w:t>
      </w:r>
      <w:proofErr w:type="gramEnd"/>
      <w:r w:rsidRPr="002A65E7">
        <w:rPr>
          <w:rStyle w:val="Emphasis"/>
          <w:rFonts w:ascii="Times New Roman" w:hAnsi="Times New Roman" w:cs="Times New Roman"/>
          <w:i w:val="0"/>
          <w:sz w:val="26"/>
          <w:szCs w:val="26"/>
        </w:rPr>
        <w:t xml:space="preserve"> động tăng và đáp ứng các quy định về môi trường ở Trung Quốc cũng dẫn đến các công ty tìm kiếm các trung tâm sản xuất rẻ hơn trong những năm gần đây.</w:t>
      </w:r>
    </w:p>
    <w:p w:rsidR="00BE6124" w:rsidRDefault="00FB1597" w:rsidP="002A65E7">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Ví dụ, công ty </w:t>
      </w:r>
      <w:r w:rsidR="002A65E7" w:rsidRPr="002A65E7">
        <w:rPr>
          <w:rStyle w:val="Emphasis"/>
          <w:rFonts w:ascii="Times New Roman" w:hAnsi="Times New Roman" w:cs="Times New Roman"/>
          <w:i w:val="0"/>
          <w:sz w:val="26"/>
          <w:szCs w:val="26"/>
        </w:rPr>
        <w:t>R &amp; T Transport có trụ sở tại Quảng Châu đã giúp 10 công ty chuyển toàn bộ nhà máy của họ ra khỏi Trung Quốc kể từ năm 2018 và 500 công ty chuyển một phần sản xuất</w:t>
      </w:r>
      <w:r w:rsidR="002A65E7">
        <w:rPr>
          <w:rStyle w:val="Emphasis"/>
          <w:rFonts w:ascii="Times New Roman" w:hAnsi="Times New Roman" w:cs="Times New Roman"/>
          <w:i w:val="0"/>
          <w:sz w:val="26"/>
          <w:szCs w:val="26"/>
        </w:rPr>
        <w:t xml:space="preserve"> sang nước khác. </w:t>
      </w:r>
    </w:p>
    <w:p w:rsidR="002A65E7" w:rsidRDefault="002A65E7" w:rsidP="002A65E7">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Hàng rào</w:t>
      </w:r>
      <w:r w:rsidRPr="002A65E7">
        <w:rPr>
          <w:rStyle w:val="Emphasis"/>
          <w:rFonts w:ascii="Times New Roman" w:hAnsi="Times New Roman" w:cs="Times New Roman"/>
          <w:i w:val="0"/>
          <w:sz w:val="26"/>
          <w:szCs w:val="26"/>
        </w:rPr>
        <w:t xml:space="preserve"> thuế quan</w:t>
      </w:r>
      <w:r>
        <w:rPr>
          <w:rStyle w:val="Emphasis"/>
          <w:rFonts w:ascii="Times New Roman" w:hAnsi="Times New Roman" w:cs="Times New Roman"/>
          <w:i w:val="0"/>
          <w:sz w:val="26"/>
          <w:szCs w:val="26"/>
        </w:rPr>
        <w:t xml:space="preserve"> của Mỹ</w:t>
      </w:r>
      <w:r w:rsidRPr="002A65E7">
        <w:rPr>
          <w:rStyle w:val="Emphasis"/>
          <w:rFonts w:ascii="Times New Roman" w:hAnsi="Times New Roman" w:cs="Times New Roman"/>
          <w:i w:val="0"/>
          <w:sz w:val="26"/>
          <w:szCs w:val="26"/>
        </w:rPr>
        <w:t xml:space="preserve"> đã thúc đẩy xu hướ</w:t>
      </w:r>
      <w:r>
        <w:rPr>
          <w:rStyle w:val="Emphasis"/>
          <w:rFonts w:ascii="Times New Roman" w:hAnsi="Times New Roman" w:cs="Times New Roman"/>
          <w:i w:val="0"/>
          <w:sz w:val="26"/>
          <w:szCs w:val="26"/>
        </w:rPr>
        <w:t>ng trên</w:t>
      </w:r>
      <w:r w:rsidR="00F57433">
        <w:rPr>
          <w:rStyle w:val="Emphasis"/>
          <w:rFonts w:ascii="Times New Roman" w:hAnsi="Times New Roman" w:cs="Times New Roman"/>
          <w:i w:val="0"/>
          <w:sz w:val="26"/>
          <w:szCs w:val="26"/>
        </w:rPr>
        <w:t>, buộc các</w:t>
      </w:r>
      <w:r w:rsidRPr="002A65E7">
        <w:rPr>
          <w:rStyle w:val="Emphasis"/>
          <w:rFonts w:ascii="Times New Roman" w:hAnsi="Times New Roman" w:cs="Times New Roman"/>
          <w:i w:val="0"/>
          <w:sz w:val="26"/>
          <w:szCs w:val="26"/>
        </w:rPr>
        <w:t xml:space="preserve"> </w:t>
      </w:r>
      <w:r w:rsidR="00F57433">
        <w:rPr>
          <w:rStyle w:val="Emphasis"/>
          <w:rFonts w:ascii="Times New Roman" w:hAnsi="Times New Roman" w:cs="Times New Roman"/>
          <w:i w:val="0"/>
          <w:sz w:val="26"/>
          <w:szCs w:val="26"/>
        </w:rPr>
        <w:t>nhà sản xuất di chuyển</w:t>
      </w:r>
      <w:r w:rsidRPr="002A65E7">
        <w:rPr>
          <w:rStyle w:val="Emphasis"/>
          <w:rFonts w:ascii="Times New Roman" w:hAnsi="Times New Roman" w:cs="Times New Roman"/>
          <w:i w:val="0"/>
          <w:sz w:val="26"/>
          <w:szCs w:val="26"/>
        </w:rPr>
        <w:t xml:space="preserve"> từ trung tâm công nghiệp Trung Quố</w:t>
      </w:r>
      <w:r w:rsidR="00A964EA">
        <w:rPr>
          <w:rStyle w:val="Emphasis"/>
          <w:rFonts w:ascii="Times New Roman" w:hAnsi="Times New Roman" w:cs="Times New Roman"/>
          <w:i w:val="0"/>
          <w:sz w:val="26"/>
          <w:szCs w:val="26"/>
        </w:rPr>
        <w:t>c sang</w:t>
      </w:r>
      <w:r w:rsidRPr="002A65E7">
        <w:rPr>
          <w:rStyle w:val="Emphasis"/>
          <w:rFonts w:ascii="Times New Roman" w:hAnsi="Times New Roman" w:cs="Times New Roman"/>
          <w:i w:val="0"/>
          <w:sz w:val="26"/>
          <w:szCs w:val="26"/>
        </w:rPr>
        <w:t xml:space="preserve"> các khu công nghiệp mới được xây dựng ở các nước láng giềng.</w:t>
      </w:r>
    </w:p>
    <w:p w:rsidR="002A65E7" w:rsidRDefault="00F57433" w:rsidP="00F5743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K</w:t>
      </w:r>
      <w:r w:rsidRPr="00F57433">
        <w:rPr>
          <w:rStyle w:val="Emphasis"/>
          <w:rFonts w:ascii="Times New Roman" w:hAnsi="Times New Roman" w:cs="Times New Roman"/>
          <w:i w:val="0"/>
          <w:sz w:val="26"/>
          <w:szCs w:val="26"/>
        </w:rPr>
        <w:t xml:space="preserve">hi cuộc chiến thương mại </w:t>
      </w:r>
      <w:proofErr w:type="gramStart"/>
      <w:r w:rsidRPr="00F57433">
        <w:rPr>
          <w:rStyle w:val="Emphasis"/>
          <w:rFonts w:ascii="Times New Roman" w:hAnsi="Times New Roman" w:cs="Times New Roman"/>
          <w:i w:val="0"/>
          <w:sz w:val="26"/>
          <w:szCs w:val="26"/>
        </w:rPr>
        <w:t>leo</w:t>
      </w:r>
      <w:proofErr w:type="gramEnd"/>
      <w:r w:rsidRPr="00F57433">
        <w:rPr>
          <w:rStyle w:val="Emphasis"/>
          <w:rFonts w:ascii="Times New Roman" w:hAnsi="Times New Roman" w:cs="Times New Roman"/>
          <w:i w:val="0"/>
          <w:sz w:val="26"/>
          <w:szCs w:val="26"/>
        </w:rPr>
        <w:t xml:space="preserve"> thang trong những tuần gần đây, tốc độ của cuộc di cư cũng tăng tố</w:t>
      </w:r>
      <w:r>
        <w:rPr>
          <w:rStyle w:val="Emphasis"/>
          <w:rFonts w:ascii="Times New Roman" w:hAnsi="Times New Roman" w:cs="Times New Roman"/>
          <w:i w:val="0"/>
          <w:sz w:val="26"/>
          <w:szCs w:val="26"/>
        </w:rPr>
        <w:t>c. Vào ngày 10/5/2019</w:t>
      </w:r>
      <w:r w:rsidRPr="00F57433">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Mỹ </w:t>
      </w:r>
      <w:r w:rsidRPr="00F57433">
        <w:rPr>
          <w:rStyle w:val="Emphasis"/>
          <w:rFonts w:ascii="Times New Roman" w:hAnsi="Times New Roman" w:cs="Times New Roman"/>
          <w:i w:val="0"/>
          <w:sz w:val="26"/>
          <w:szCs w:val="26"/>
        </w:rPr>
        <w:t>đã tăng thuế đối với 200 tỷ đô la hàng hóa Trung Quốc từ 10% lên 25%.</w:t>
      </w:r>
      <w:r>
        <w:rPr>
          <w:rStyle w:val="Emphasis"/>
          <w:rFonts w:ascii="Times New Roman" w:hAnsi="Times New Roman" w:cs="Times New Roman"/>
          <w:i w:val="0"/>
          <w:sz w:val="26"/>
          <w:szCs w:val="26"/>
        </w:rPr>
        <w:t xml:space="preserve"> M</w:t>
      </w:r>
      <w:r w:rsidRPr="00F57433">
        <w:rPr>
          <w:rStyle w:val="Emphasis"/>
          <w:rFonts w:ascii="Times New Roman" w:hAnsi="Times New Roman" w:cs="Times New Roman"/>
          <w:i w:val="0"/>
          <w:sz w:val="26"/>
          <w:szCs w:val="26"/>
        </w:rPr>
        <w:t xml:space="preserve">ột danh sách hàng hóa mới phải chịu mức thuế 25%, </w:t>
      </w:r>
      <w:r>
        <w:rPr>
          <w:rStyle w:val="Emphasis"/>
          <w:rFonts w:ascii="Times New Roman" w:hAnsi="Times New Roman" w:cs="Times New Roman"/>
          <w:i w:val="0"/>
          <w:sz w:val="26"/>
          <w:szCs w:val="26"/>
        </w:rPr>
        <w:t>bao gồm gần</w:t>
      </w:r>
      <w:r w:rsidRPr="00F57433">
        <w:rPr>
          <w:rStyle w:val="Emphasis"/>
          <w:rFonts w:ascii="Times New Roman" w:hAnsi="Times New Roman" w:cs="Times New Roman"/>
          <w:i w:val="0"/>
          <w:sz w:val="26"/>
          <w:szCs w:val="26"/>
        </w:rPr>
        <w:t xml:space="preserve"> như tất cả hàng xuất khẩu của Trung Quốc sang Hoa Kỳ, trị giá ước tính 300 tỷ USD.</w:t>
      </w:r>
    </w:p>
    <w:p w:rsidR="00F57433" w:rsidRPr="00F57433" w:rsidRDefault="00F57433" w:rsidP="00F57433">
      <w:pPr>
        <w:shd w:val="clear" w:color="auto" w:fill="FFFFFF"/>
        <w:spacing w:after="177" w:line="312" w:lineRule="auto"/>
        <w:ind w:firstLine="720"/>
        <w:jc w:val="both"/>
        <w:rPr>
          <w:rStyle w:val="Emphasis"/>
          <w:rFonts w:ascii="Times New Roman" w:hAnsi="Times New Roman" w:cs="Times New Roman"/>
          <w:i w:val="0"/>
          <w:sz w:val="26"/>
          <w:szCs w:val="26"/>
        </w:rPr>
      </w:pPr>
      <w:r w:rsidRPr="00F57433">
        <w:rPr>
          <w:rStyle w:val="Emphasis"/>
          <w:rFonts w:ascii="Times New Roman" w:hAnsi="Times New Roman" w:cs="Times New Roman"/>
          <w:i w:val="0"/>
          <w:sz w:val="26"/>
          <w:szCs w:val="26"/>
        </w:rPr>
        <w:t>Overland Total Logistics (OTL), một công ty có trụ sở tại Quảng Tây</w:t>
      </w:r>
      <w:r w:rsidR="00FB1597">
        <w:rPr>
          <w:rStyle w:val="Emphasis"/>
          <w:rFonts w:ascii="Times New Roman" w:hAnsi="Times New Roman" w:cs="Times New Roman"/>
          <w:i w:val="0"/>
          <w:sz w:val="26"/>
          <w:szCs w:val="26"/>
        </w:rPr>
        <w:t xml:space="preserve"> (Trung Quốc)</w:t>
      </w:r>
      <w:r w:rsidRPr="00F57433">
        <w:rPr>
          <w:rStyle w:val="Emphasis"/>
          <w:rFonts w:ascii="Times New Roman" w:hAnsi="Times New Roman" w:cs="Times New Roman"/>
          <w:i w:val="0"/>
          <w:sz w:val="26"/>
          <w:szCs w:val="26"/>
        </w:rPr>
        <w:t xml:space="preserve"> đã giúp 300 nhà sản xuất chuyển giao một phần dây chuyền sản xuất, cũng như nguyên liệu và thiết bị cho các nhà máy mới được xây dựng của họ ở Đông Nam Á. Trong số đó có các nhà sản xuất tấm pin mặt trời quang điện, hàng điện tử và khuôn mẫu.</w:t>
      </w:r>
    </w:p>
    <w:p w:rsidR="00FB1597" w:rsidRDefault="00FB1597" w:rsidP="00F5743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00F57433" w:rsidRPr="00F57433">
        <w:rPr>
          <w:rStyle w:val="Emphasis"/>
          <w:rFonts w:ascii="Times New Roman" w:hAnsi="Times New Roman" w:cs="Times New Roman"/>
          <w:i w:val="0"/>
          <w:sz w:val="26"/>
          <w:szCs w:val="26"/>
        </w:rPr>
        <w:t xml:space="preserve">ác công ty nhỏ hơn </w:t>
      </w:r>
      <w:r>
        <w:rPr>
          <w:rStyle w:val="Emphasis"/>
          <w:rFonts w:ascii="Times New Roman" w:hAnsi="Times New Roman" w:cs="Times New Roman"/>
          <w:i w:val="0"/>
          <w:sz w:val="26"/>
          <w:szCs w:val="26"/>
        </w:rPr>
        <w:t>cũng đang phải điều chỉnh kế hoach logistics của mình khi</w:t>
      </w:r>
      <w:r w:rsidR="00F57433" w:rsidRPr="00F57433">
        <w:rPr>
          <w:rStyle w:val="Emphasis"/>
          <w:rFonts w:ascii="Times New Roman" w:hAnsi="Times New Roman" w:cs="Times New Roman"/>
          <w:i w:val="0"/>
          <w:sz w:val="26"/>
          <w:szCs w:val="26"/>
        </w:rPr>
        <w:t xml:space="preserve"> khách hàng của họ - các nhà sản xuất lớ</w:t>
      </w:r>
      <w:r>
        <w:rPr>
          <w:rStyle w:val="Emphasis"/>
          <w:rFonts w:ascii="Times New Roman" w:hAnsi="Times New Roman" w:cs="Times New Roman"/>
          <w:i w:val="0"/>
          <w:sz w:val="26"/>
          <w:szCs w:val="26"/>
        </w:rPr>
        <w:t>n hơn – chuyển sang</w:t>
      </w:r>
      <w:r w:rsidR="00F57433" w:rsidRPr="00F57433">
        <w:rPr>
          <w:rStyle w:val="Emphasis"/>
          <w:rFonts w:ascii="Times New Roman" w:hAnsi="Times New Roman" w:cs="Times New Roman"/>
          <w:i w:val="0"/>
          <w:sz w:val="26"/>
          <w:szCs w:val="26"/>
        </w:rPr>
        <w:t xml:space="preserve"> Việ</w:t>
      </w:r>
      <w:r>
        <w:rPr>
          <w:rStyle w:val="Emphasis"/>
          <w:rFonts w:ascii="Times New Roman" w:hAnsi="Times New Roman" w:cs="Times New Roman"/>
          <w:i w:val="0"/>
          <w:sz w:val="26"/>
          <w:szCs w:val="26"/>
        </w:rPr>
        <w:t>t Nam hoặc Indonesia.</w:t>
      </w:r>
      <w:r w:rsidR="00F57433" w:rsidRPr="00F57433">
        <w:rPr>
          <w:rStyle w:val="Emphasis"/>
          <w:rFonts w:ascii="Times New Roman" w:hAnsi="Times New Roman" w:cs="Times New Roman"/>
          <w:i w:val="0"/>
          <w:sz w:val="26"/>
          <w:szCs w:val="26"/>
        </w:rPr>
        <w:t xml:space="preserve"> </w:t>
      </w:r>
      <w:proofErr w:type="gramStart"/>
      <w:r w:rsidR="00F57433" w:rsidRPr="00F57433">
        <w:rPr>
          <w:rStyle w:val="Emphasis"/>
          <w:rFonts w:ascii="Times New Roman" w:hAnsi="Times New Roman" w:cs="Times New Roman"/>
          <w:i w:val="0"/>
          <w:sz w:val="26"/>
          <w:szCs w:val="26"/>
        </w:rPr>
        <w:t>Trong chuỗi cung ứng, hệ sinh thái của các nhà cung cấp</w:t>
      </w:r>
      <w:r>
        <w:rPr>
          <w:rStyle w:val="Emphasis"/>
          <w:rFonts w:ascii="Times New Roman" w:hAnsi="Times New Roman" w:cs="Times New Roman"/>
          <w:i w:val="0"/>
          <w:sz w:val="26"/>
          <w:szCs w:val="26"/>
        </w:rPr>
        <w:t xml:space="preserve"> nguyên vật liệu, phụ kiện…</w:t>
      </w:r>
      <w:r w:rsidR="00F57433" w:rsidRPr="00F57433">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thường ở</w:t>
      </w:r>
      <w:r w:rsidR="00F57433" w:rsidRPr="00F57433">
        <w:rPr>
          <w:rStyle w:val="Emphasis"/>
          <w:rFonts w:ascii="Times New Roman" w:hAnsi="Times New Roman" w:cs="Times New Roman"/>
          <w:i w:val="0"/>
          <w:sz w:val="26"/>
          <w:szCs w:val="26"/>
        </w:rPr>
        <w:t xml:space="preserve"> xung quanh nhữ</w:t>
      </w:r>
      <w:r>
        <w:rPr>
          <w:rStyle w:val="Emphasis"/>
          <w:rFonts w:ascii="Times New Roman" w:hAnsi="Times New Roman" w:cs="Times New Roman"/>
          <w:i w:val="0"/>
          <w:sz w:val="26"/>
          <w:szCs w:val="26"/>
        </w:rPr>
        <w:t>ng công ty lớn.</w:t>
      </w:r>
      <w:proofErr w:type="gramEnd"/>
      <w:r>
        <w:rPr>
          <w:rStyle w:val="Emphasis"/>
          <w:rFonts w:ascii="Times New Roman" w:hAnsi="Times New Roman" w:cs="Times New Roman"/>
          <w:i w:val="0"/>
          <w:sz w:val="26"/>
          <w:szCs w:val="26"/>
        </w:rPr>
        <w:t xml:space="preserve"> Khi các công ty lớn </w:t>
      </w:r>
      <w:r w:rsidR="00F57433" w:rsidRPr="00F57433">
        <w:rPr>
          <w:rStyle w:val="Emphasis"/>
          <w:rFonts w:ascii="Times New Roman" w:hAnsi="Times New Roman" w:cs="Times New Roman"/>
          <w:i w:val="0"/>
          <w:sz w:val="26"/>
          <w:szCs w:val="26"/>
        </w:rPr>
        <w:lastRenderedPageBreak/>
        <w:t>rời khỏi Trung Quố</w:t>
      </w:r>
      <w:r>
        <w:rPr>
          <w:rStyle w:val="Emphasis"/>
          <w:rFonts w:ascii="Times New Roman" w:hAnsi="Times New Roman" w:cs="Times New Roman"/>
          <w:i w:val="0"/>
          <w:sz w:val="26"/>
          <w:szCs w:val="26"/>
        </w:rPr>
        <w:t xml:space="preserve">c, hệ sinh thái này cũng di chuyển </w:t>
      </w:r>
      <w:proofErr w:type="gramStart"/>
      <w:r>
        <w:rPr>
          <w:rStyle w:val="Emphasis"/>
          <w:rFonts w:ascii="Times New Roman" w:hAnsi="Times New Roman" w:cs="Times New Roman"/>
          <w:i w:val="0"/>
          <w:sz w:val="26"/>
          <w:szCs w:val="26"/>
        </w:rPr>
        <w:t>theo</w:t>
      </w:r>
      <w:proofErr w:type="gramEnd"/>
      <w:r>
        <w:rPr>
          <w:rStyle w:val="Emphasis"/>
          <w:rFonts w:ascii="Times New Roman" w:hAnsi="Times New Roman" w:cs="Times New Roman"/>
          <w:i w:val="0"/>
          <w:sz w:val="26"/>
          <w:szCs w:val="26"/>
        </w:rPr>
        <w:t xml:space="preserve">, dẫn đến một cuộc di cư lớn của các nhà cung cấp </w:t>
      </w:r>
      <w:r w:rsidR="00F57433" w:rsidRPr="00F57433">
        <w:rPr>
          <w:rStyle w:val="Emphasis"/>
          <w:rFonts w:ascii="Times New Roman" w:hAnsi="Times New Roman" w:cs="Times New Roman"/>
          <w:i w:val="0"/>
          <w:sz w:val="26"/>
          <w:szCs w:val="26"/>
        </w:rPr>
        <w:t>nguyên liệu thô, bán thành phẩm và thành phẩm</w:t>
      </w:r>
      <w:r>
        <w:rPr>
          <w:rStyle w:val="Emphasis"/>
          <w:rFonts w:ascii="Times New Roman" w:hAnsi="Times New Roman" w:cs="Times New Roman"/>
          <w:i w:val="0"/>
          <w:sz w:val="26"/>
          <w:szCs w:val="26"/>
        </w:rPr>
        <w:t xml:space="preserve">. </w:t>
      </w:r>
    </w:p>
    <w:p w:rsidR="00F57433" w:rsidRDefault="00FF268A" w:rsidP="00F57433">
      <w:pPr>
        <w:shd w:val="clear" w:color="auto" w:fill="FFFFFF"/>
        <w:spacing w:after="177"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Năng lực</w:t>
      </w:r>
      <w:r w:rsidR="00F57433" w:rsidRPr="00F57433">
        <w:rPr>
          <w:rStyle w:val="Emphasis"/>
          <w:rFonts w:ascii="Times New Roman" w:hAnsi="Times New Roman" w:cs="Times New Roman"/>
          <w:i w:val="0"/>
          <w:sz w:val="26"/>
          <w:szCs w:val="26"/>
        </w:rPr>
        <w:t xml:space="preserve"> hiện tại của OTL lên tới 500 xe tải 45 feet với hơn 1.000 tài xế, cung cấp dịch vụ </w:t>
      </w:r>
      <w:r w:rsidR="00A301FE">
        <w:rPr>
          <w:rStyle w:val="Emphasis"/>
          <w:rFonts w:ascii="Times New Roman" w:hAnsi="Times New Roman" w:cs="Times New Roman"/>
          <w:i w:val="0"/>
          <w:sz w:val="26"/>
          <w:szCs w:val="26"/>
        </w:rPr>
        <w:t>logistics</w:t>
      </w:r>
      <w:r w:rsidR="00F57433" w:rsidRPr="00F57433">
        <w:rPr>
          <w:rStyle w:val="Emphasis"/>
          <w:rFonts w:ascii="Times New Roman" w:hAnsi="Times New Roman" w:cs="Times New Roman"/>
          <w:i w:val="0"/>
          <w:sz w:val="26"/>
          <w:szCs w:val="26"/>
        </w:rPr>
        <w:t xml:space="preserve"> tận nhà để giao nhận, vận chuyển, xử lý hàng hóa và kho bãi cho các công ty sản xuất Trung Quốc và các nhà máy mới được xây dựng tại sáu quốc gia ở Nam Á: Singapore, Thái Lan, Việt Nam, Malaysia, Lào và Campuchia.</w:t>
      </w:r>
    </w:p>
    <w:p w:rsidR="00F57433" w:rsidRDefault="00F57433" w:rsidP="00F57433">
      <w:pPr>
        <w:shd w:val="clear" w:color="auto" w:fill="FFFFFF"/>
        <w:spacing w:after="177" w:line="312" w:lineRule="auto"/>
        <w:ind w:firstLine="720"/>
        <w:jc w:val="both"/>
        <w:rPr>
          <w:rStyle w:val="Emphasis"/>
          <w:rFonts w:ascii="Times New Roman" w:hAnsi="Times New Roman" w:cs="Times New Roman"/>
          <w:i w:val="0"/>
          <w:sz w:val="26"/>
          <w:szCs w:val="26"/>
        </w:rPr>
      </w:pPr>
      <w:r w:rsidRPr="00F57433">
        <w:rPr>
          <w:rStyle w:val="Emphasis"/>
          <w:rFonts w:ascii="Times New Roman" w:hAnsi="Times New Roman" w:cs="Times New Roman"/>
          <w:i w:val="0"/>
          <w:sz w:val="26"/>
          <w:szCs w:val="26"/>
        </w:rPr>
        <w:t>Xu hướng, đã được tiến hành trong nhiều năm, ngày càng trở nên hiệu quả, với việc chuyển đổi nguyên liệu và linh kiện từ các nhà máy Trung Quốc sang các đối tác của họ ở Đông Nam Á diễn ra ngày càng nhanh chóng</w:t>
      </w:r>
      <w:r w:rsidR="00FF268A">
        <w:rPr>
          <w:rStyle w:val="Emphasis"/>
          <w:rFonts w:ascii="Times New Roman" w:hAnsi="Times New Roman" w:cs="Times New Roman"/>
          <w:i w:val="0"/>
          <w:sz w:val="26"/>
          <w:szCs w:val="26"/>
        </w:rPr>
        <w:t>.</w:t>
      </w:r>
    </w:p>
    <w:sectPr w:rsidR="00F57433" w:rsidSect="00A4098E">
      <w:footerReference w:type="default" r:id="rId28"/>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33" w:rsidRDefault="00136B33" w:rsidP="00AC37BB">
      <w:pPr>
        <w:spacing w:after="0" w:line="240" w:lineRule="auto"/>
      </w:pPr>
      <w:r>
        <w:separator/>
      </w:r>
    </w:p>
  </w:endnote>
  <w:endnote w:type="continuationSeparator" w:id="0">
    <w:p w:rsidR="00136B33" w:rsidRDefault="00136B33"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2B6CA9" w:rsidRDefault="002B6CA9">
        <w:pPr>
          <w:pStyle w:val="Footer"/>
          <w:jc w:val="right"/>
        </w:pPr>
        <w:r>
          <w:fldChar w:fldCharType="begin"/>
        </w:r>
        <w:r>
          <w:instrText xml:space="preserve"> PAGE   \* MERGEFORMAT </w:instrText>
        </w:r>
        <w:r>
          <w:fldChar w:fldCharType="separate"/>
        </w:r>
        <w:r w:rsidR="00A964EA">
          <w:rPr>
            <w:noProof/>
          </w:rPr>
          <w:t>1</w:t>
        </w:r>
        <w:r>
          <w:rPr>
            <w:noProof/>
          </w:rPr>
          <w:fldChar w:fldCharType="end"/>
        </w:r>
      </w:p>
    </w:sdtContent>
  </w:sdt>
  <w:p w:rsidR="002B6CA9" w:rsidRDefault="002B6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33" w:rsidRDefault="00136B33" w:rsidP="00AC37BB">
      <w:pPr>
        <w:spacing w:after="0" w:line="240" w:lineRule="auto"/>
      </w:pPr>
      <w:r>
        <w:separator/>
      </w:r>
    </w:p>
  </w:footnote>
  <w:footnote w:type="continuationSeparator" w:id="0">
    <w:p w:rsidR="00136B33" w:rsidRDefault="00136B33"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C223DB"/>
    <w:multiLevelType w:val="hybridMultilevel"/>
    <w:tmpl w:val="EF2ADB86"/>
    <w:lvl w:ilvl="0" w:tplc="FC60B8D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nsid w:val="4250293C"/>
    <w:multiLevelType w:val="hybridMultilevel"/>
    <w:tmpl w:val="54281CEE"/>
    <w:lvl w:ilvl="0" w:tplc="8B2C844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C9314C"/>
    <w:multiLevelType w:val="multilevel"/>
    <w:tmpl w:val="8BEA29F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53E"/>
    <w:rsid w:val="00007A98"/>
    <w:rsid w:val="00014629"/>
    <w:rsid w:val="00015C54"/>
    <w:rsid w:val="00020B86"/>
    <w:rsid w:val="00027461"/>
    <w:rsid w:val="00037629"/>
    <w:rsid w:val="00037E89"/>
    <w:rsid w:val="00055DF9"/>
    <w:rsid w:val="0006489D"/>
    <w:rsid w:val="0006566E"/>
    <w:rsid w:val="000718DC"/>
    <w:rsid w:val="00074118"/>
    <w:rsid w:val="0007459B"/>
    <w:rsid w:val="00091FAE"/>
    <w:rsid w:val="0009306F"/>
    <w:rsid w:val="000953B0"/>
    <w:rsid w:val="000A5331"/>
    <w:rsid w:val="000A74F3"/>
    <w:rsid w:val="000B3779"/>
    <w:rsid w:val="000B4477"/>
    <w:rsid w:val="000B4D62"/>
    <w:rsid w:val="000C3CBD"/>
    <w:rsid w:val="000D641E"/>
    <w:rsid w:val="000E1C76"/>
    <w:rsid w:val="000E2771"/>
    <w:rsid w:val="000F17C7"/>
    <w:rsid w:val="000F7576"/>
    <w:rsid w:val="001002A5"/>
    <w:rsid w:val="0010282C"/>
    <w:rsid w:val="001033C8"/>
    <w:rsid w:val="00105E9D"/>
    <w:rsid w:val="00111438"/>
    <w:rsid w:val="00131C9A"/>
    <w:rsid w:val="00133664"/>
    <w:rsid w:val="00136B33"/>
    <w:rsid w:val="00140B88"/>
    <w:rsid w:val="0014653E"/>
    <w:rsid w:val="00151A22"/>
    <w:rsid w:val="00161A64"/>
    <w:rsid w:val="00164323"/>
    <w:rsid w:val="0016539D"/>
    <w:rsid w:val="00176F88"/>
    <w:rsid w:val="00180C46"/>
    <w:rsid w:val="0018653A"/>
    <w:rsid w:val="001962A7"/>
    <w:rsid w:val="001B17EA"/>
    <w:rsid w:val="001B2E26"/>
    <w:rsid w:val="001C3701"/>
    <w:rsid w:val="001D2E97"/>
    <w:rsid w:val="001E3F15"/>
    <w:rsid w:val="001E5DBB"/>
    <w:rsid w:val="0020733C"/>
    <w:rsid w:val="002100D1"/>
    <w:rsid w:val="002154FC"/>
    <w:rsid w:val="00216A7D"/>
    <w:rsid w:val="00222862"/>
    <w:rsid w:val="0023164F"/>
    <w:rsid w:val="002338D4"/>
    <w:rsid w:val="00237D0D"/>
    <w:rsid w:val="00243473"/>
    <w:rsid w:val="00244CD4"/>
    <w:rsid w:val="00251F6E"/>
    <w:rsid w:val="00255802"/>
    <w:rsid w:val="0025748E"/>
    <w:rsid w:val="00261835"/>
    <w:rsid w:val="00263306"/>
    <w:rsid w:val="002665E5"/>
    <w:rsid w:val="00285499"/>
    <w:rsid w:val="00291326"/>
    <w:rsid w:val="002A65E7"/>
    <w:rsid w:val="002B6CA9"/>
    <w:rsid w:val="002C0E72"/>
    <w:rsid w:val="002D1534"/>
    <w:rsid w:val="002D1CA9"/>
    <w:rsid w:val="002E6341"/>
    <w:rsid w:val="002F0A2C"/>
    <w:rsid w:val="002F6CC9"/>
    <w:rsid w:val="00301544"/>
    <w:rsid w:val="00302733"/>
    <w:rsid w:val="003066E5"/>
    <w:rsid w:val="00314E63"/>
    <w:rsid w:val="003204FD"/>
    <w:rsid w:val="003243B3"/>
    <w:rsid w:val="00327824"/>
    <w:rsid w:val="003334FF"/>
    <w:rsid w:val="00351BEC"/>
    <w:rsid w:val="0035362C"/>
    <w:rsid w:val="0035634D"/>
    <w:rsid w:val="00372317"/>
    <w:rsid w:val="0037482B"/>
    <w:rsid w:val="00375B5D"/>
    <w:rsid w:val="00376FF5"/>
    <w:rsid w:val="00392A7A"/>
    <w:rsid w:val="003A2FBB"/>
    <w:rsid w:val="003B39B3"/>
    <w:rsid w:val="003B7520"/>
    <w:rsid w:val="003C158E"/>
    <w:rsid w:val="003C4E0C"/>
    <w:rsid w:val="003C6E55"/>
    <w:rsid w:val="003C73B3"/>
    <w:rsid w:val="003D47B6"/>
    <w:rsid w:val="003F3787"/>
    <w:rsid w:val="0042206C"/>
    <w:rsid w:val="00427128"/>
    <w:rsid w:val="004367A3"/>
    <w:rsid w:val="00481C11"/>
    <w:rsid w:val="00486D73"/>
    <w:rsid w:val="00491362"/>
    <w:rsid w:val="004A17EC"/>
    <w:rsid w:val="004A33DD"/>
    <w:rsid w:val="004A6C44"/>
    <w:rsid w:val="004C4499"/>
    <w:rsid w:val="004E4640"/>
    <w:rsid w:val="004E6282"/>
    <w:rsid w:val="004F3BC7"/>
    <w:rsid w:val="004F3E14"/>
    <w:rsid w:val="00503557"/>
    <w:rsid w:val="0050379F"/>
    <w:rsid w:val="005126F4"/>
    <w:rsid w:val="00515D9C"/>
    <w:rsid w:val="005211BD"/>
    <w:rsid w:val="00533774"/>
    <w:rsid w:val="0054494F"/>
    <w:rsid w:val="005450C6"/>
    <w:rsid w:val="00554A39"/>
    <w:rsid w:val="00563868"/>
    <w:rsid w:val="005777A7"/>
    <w:rsid w:val="00583E0B"/>
    <w:rsid w:val="00596F7F"/>
    <w:rsid w:val="005A19B4"/>
    <w:rsid w:val="005A32AF"/>
    <w:rsid w:val="005A37D7"/>
    <w:rsid w:val="005C03DA"/>
    <w:rsid w:val="005E3474"/>
    <w:rsid w:val="005F11B9"/>
    <w:rsid w:val="005F6C14"/>
    <w:rsid w:val="00606F25"/>
    <w:rsid w:val="00607892"/>
    <w:rsid w:val="00630374"/>
    <w:rsid w:val="00630F2E"/>
    <w:rsid w:val="00632796"/>
    <w:rsid w:val="00635549"/>
    <w:rsid w:val="006415B7"/>
    <w:rsid w:val="0064258B"/>
    <w:rsid w:val="00654EC6"/>
    <w:rsid w:val="00661CAF"/>
    <w:rsid w:val="0066750D"/>
    <w:rsid w:val="00674070"/>
    <w:rsid w:val="00675AF1"/>
    <w:rsid w:val="006806A6"/>
    <w:rsid w:val="006849F8"/>
    <w:rsid w:val="00695CDC"/>
    <w:rsid w:val="00697AB7"/>
    <w:rsid w:val="006C7647"/>
    <w:rsid w:val="006D029B"/>
    <w:rsid w:val="006F3377"/>
    <w:rsid w:val="006F7254"/>
    <w:rsid w:val="00744733"/>
    <w:rsid w:val="0076011B"/>
    <w:rsid w:val="00767AB0"/>
    <w:rsid w:val="00771D96"/>
    <w:rsid w:val="00772D3A"/>
    <w:rsid w:val="007757F7"/>
    <w:rsid w:val="00776375"/>
    <w:rsid w:val="007771F0"/>
    <w:rsid w:val="0078229F"/>
    <w:rsid w:val="00783D15"/>
    <w:rsid w:val="00787D87"/>
    <w:rsid w:val="00796204"/>
    <w:rsid w:val="007A0E8A"/>
    <w:rsid w:val="007A4B79"/>
    <w:rsid w:val="007A711C"/>
    <w:rsid w:val="007C440C"/>
    <w:rsid w:val="007C66DE"/>
    <w:rsid w:val="007F2D78"/>
    <w:rsid w:val="007F37BD"/>
    <w:rsid w:val="008123B3"/>
    <w:rsid w:val="00814E8F"/>
    <w:rsid w:val="00817266"/>
    <w:rsid w:val="00817F73"/>
    <w:rsid w:val="008302C8"/>
    <w:rsid w:val="00834B83"/>
    <w:rsid w:val="008372E1"/>
    <w:rsid w:val="00842558"/>
    <w:rsid w:val="00855FE5"/>
    <w:rsid w:val="0085727E"/>
    <w:rsid w:val="00865697"/>
    <w:rsid w:val="008713FB"/>
    <w:rsid w:val="008735CF"/>
    <w:rsid w:val="008774C9"/>
    <w:rsid w:val="008864E4"/>
    <w:rsid w:val="00891990"/>
    <w:rsid w:val="00891A20"/>
    <w:rsid w:val="008A22FD"/>
    <w:rsid w:val="008A4AD6"/>
    <w:rsid w:val="008A5CDB"/>
    <w:rsid w:val="008A6247"/>
    <w:rsid w:val="008C5C2B"/>
    <w:rsid w:val="008E374E"/>
    <w:rsid w:val="008F3B48"/>
    <w:rsid w:val="00902D8F"/>
    <w:rsid w:val="00940E83"/>
    <w:rsid w:val="00952574"/>
    <w:rsid w:val="00961E55"/>
    <w:rsid w:val="009655C5"/>
    <w:rsid w:val="0096701D"/>
    <w:rsid w:val="00973A24"/>
    <w:rsid w:val="00981BDB"/>
    <w:rsid w:val="0099245A"/>
    <w:rsid w:val="009B379A"/>
    <w:rsid w:val="009C14D4"/>
    <w:rsid w:val="009C5405"/>
    <w:rsid w:val="009D09B6"/>
    <w:rsid w:val="009D25F9"/>
    <w:rsid w:val="009D576F"/>
    <w:rsid w:val="009E1305"/>
    <w:rsid w:val="009F6F47"/>
    <w:rsid w:val="00A022B1"/>
    <w:rsid w:val="00A02346"/>
    <w:rsid w:val="00A027FF"/>
    <w:rsid w:val="00A11215"/>
    <w:rsid w:val="00A12DDC"/>
    <w:rsid w:val="00A25A23"/>
    <w:rsid w:val="00A301FE"/>
    <w:rsid w:val="00A34A95"/>
    <w:rsid w:val="00A4098E"/>
    <w:rsid w:val="00A52B66"/>
    <w:rsid w:val="00A76837"/>
    <w:rsid w:val="00A81298"/>
    <w:rsid w:val="00A90838"/>
    <w:rsid w:val="00A923A7"/>
    <w:rsid w:val="00A938F3"/>
    <w:rsid w:val="00A964EA"/>
    <w:rsid w:val="00AA5285"/>
    <w:rsid w:val="00AB3555"/>
    <w:rsid w:val="00AB6486"/>
    <w:rsid w:val="00AC37BB"/>
    <w:rsid w:val="00AE0E3E"/>
    <w:rsid w:val="00AE46FA"/>
    <w:rsid w:val="00AF22B4"/>
    <w:rsid w:val="00AF56B2"/>
    <w:rsid w:val="00B15A0D"/>
    <w:rsid w:val="00B21A4A"/>
    <w:rsid w:val="00B372A5"/>
    <w:rsid w:val="00B67A0E"/>
    <w:rsid w:val="00B70613"/>
    <w:rsid w:val="00B752B6"/>
    <w:rsid w:val="00B77BAC"/>
    <w:rsid w:val="00B81C38"/>
    <w:rsid w:val="00B82426"/>
    <w:rsid w:val="00B82CFF"/>
    <w:rsid w:val="00B8523A"/>
    <w:rsid w:val="00B93786"/>
    <w:rsid w:val="00B93841"/>
    <w:rsid w:val="00BA1F3D"/>
    <w:rsid w:val="00BA3AC4"/>
    <w:rsid w:val="00BB1026"/>
    <w:rsid w:val="00BB7402"/>
    <w:rsid w:val="00BB7546"/>
    <w:rsid w:val="00BD622A"/>
    <w:rsid w:val="00BE3039"/>
    <w:rsid w:val="00BE6124"/>
    <w:rsid w:val="00C042A2"/>
    <w:rsid w:val="00C200DA"/>
    <w:rsid w:val="00C22D62"/>
    <w:rsid w:val="00C23817"/>
    <w:rsid w:val="00C27A84"/>
    <w:rsid w:val="00C30D8C"/>
    <w:rsid w:val="00C34E11"/>
    <w:rsid w:val="00C4128B"/>
    <w:rsid w:val="00C41FF2"/>
    <w:rsid w:val="00C45DE0"/>
    <w:rsid w:val="00C52172"/>
    <w:rsid w:val="00C6356A"/>
    <w:rsid w:val="00C65386"/>
    <w:rsid w:val="00C7600E"/>
    <w:rsid w:val="00C7687D"/>
    <w:rsid w:val="00C86A0E"/>
    <w:rsid w:val="00C9331F"/>
    <w:rsid w:val="00CA6A2E"/>
    <w:rsid w:val="00CB4DD3"/>
    <w:rsid w:val="00CC1F77"/>
    <w:rsid w:val="00CC4D20"/>
    <w:rsid w:val="00CE0298"/>
    <w:rsid w:val="00CE3CC8"/>
    <w:rsid w:val="00CE5DF4"/>
    <w:rsid w:val="00CF7C1E"/>
    <w:rsid w:val="00D04A5A"/>
    <w:rsid w:val="00D10889"/>
    <w:rsid w:val="00D16451"/>
    <w:rsid w:val="00D2114E"/>
    <w:rsid w:val="00D27E0A"/>
    <w:rsid w:val="00D3276A"/>
    <w:rsid w:val="00D47029"/>
    <w:rsid w:val="00D473CE"/>
    <w:rsid w:val="00D54585"/>
    <w:rsid w:val="00D63135"/>
    <w:rsid w:val="00D82AF6"/>
    <w:rsid w:val="00D9555D"/>
    <w:rsid w:val="00DA01C4"/>
    <w:rsid w:val="00DC1D28"/>
    <w:rsid w:val="00DC53B8"/>
    <w:rsid w:val="00DD1613"/>
    <w:rsid w:val="00DE035F"/>
    <w:rsid w:val="00DE1410"/>
    <w:rsid w:val="00DF6CAB"/>
    <w:rsid w:val="00E01784"/>
    <w:rsid w:val="00E13CEC"/>
    <w:rsid w:val="00E14265"/>
    <w:rsid w:val="00E331D7"/>
    <w:rsid w:val="00E41A97"/>
    <w:rsid w:val="00E4388C"/>
    <w:rsid w:val="00E464B8"/>
    <w:rsid w:val="00E64606"/>
    <w:rsid w:val="00E939C2"/>
    <w:rsid w:val="00E944D1"/>
    <w:rsid w:val="00E977AC"/>
    <w:rsid w:val="00EA7AD7"/>
    <w:rsid w:val="00EB066A"/>
    <w:rsid w:val="00EC26DC"/>
    <w:rsid w:val="00ED3871"/>
    <w:rsid w:val="00EE4696"/>
    <w:rsid w:val="00F0365A"/>
    <w:rsid w:val="00F03878"/>
    <w:rsid w:val="00F13048"/>
    <w:rsid w:val="00F14C13"/>
    <w:rsid w:val="00F17BAE"/>
    <w:rsid w:val="00F23C10"/>
    <w:rsid w:val="00F24132"/>
    <w:rsid w:val="00F343B3"/>
    <w:rsid w:val="00F422A3"/>
    <w:rsid w:val="00F42FAC"/>
    <w:rsid w:val="00F526CE"/>
    <w:rsid w:val="00F57433"/>
    <w:rsid w:val="00FB1597"/>
    <w:rsid w:val="00FB6291"/>
    <w:rsid w:val="00FC0911"/>
    <w:rsid w:val="00FC4784"/>
    <w:rsid w:val="00FD2CF3"/>
    <w:rsid w:val="00FD34B0"/>
    <w:rsid w:val="00FE5014"/>
    <w:rsid w:val="00FE6D7A"/>
    <w:rsid w:val="00FF268A"/>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D327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 w:type="paragraph" w:styleId="TOC3">
    <w:name w:val="toc 3"/>
    <w:basedOn w:val="Normal"/>
    <w:next w:val="Normal"/>
    <w:autoRedefine/>
    <w:uiPriority w:val="39"/>
    <w:unhideWhenUsed/>
    <w:rsid w:val="00A90838"/>
    <w:pPr>
      <w:spacing w:after="100"/>
      <w:ind w:left="440"/>
    </w:pPr>
  </w:style>
  <w:style w:type="character" w:customStyle="1" w:styleId="Heading6Char">
    <w:name w:val="Heading 6 Char"/>
    <w:basedOn w:val="DefaultParagraphFont"/>
    <w:link w:val="Heading6"/>
    <w:uiPriority w:val="9"/>
    <w:rsid w:val="00D3276A"/>
    <w:rPr>
      <w:rFonts w:ascii="Times New Roman" w:eastAsia="Times New Roman" w:hAnsi="Times New Roman" w:cs="Times New Roman"/>
      <w:b/>
      <w:bCs/>
      <w:sz w:val="15"/>
      <w:szCs w:val="15"/>
    </w:rPr>
  </w:style>
  <w:style w:type="paragraph" w:customStyle="1" w:styleId="editorial-table-source">
    <w:name w:val="editorial-table-source"/>
    <w:basedOn w:val="Normal"/>
    <w:rsid w:val="00D3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9F6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074">
      <w:bodyDiv w:val="1"/>
      <w:marLeft w:val="0"/>
      <w:marRight w:val="0"/>
      <w:marTop w:val="0"/>
      <w:marBottom w:val="0"/>
      <w:divBdr>
        <w:top w:val="none" w:sz="0" w:space="0" w:color="auto"/>
        <w:left w:val="none" w:sz="0" w:space="0" w:color="auto"/>
        <w:bottom w:val="none" w:sz="0" w:space="0" w:color="auto"/>
        <w:right w:val="none" w:sz="0" w:space="0" w:color="auto"/>
      </w:divBdr>
    </w:div>
    <w:div w:id="70548721">
      <w:bodyDiv w:val="1"/>
      <w:marLeft w:val="0"/>
      <w:marRight w:val="0"/>
      <w:marTop w:val="0"/>
      <w:marBottom w:val="0"/>
      <w:divBdr>
        <w:top w:val="none" w:sz="0" w:space="0" w:color="auto"/>
        <w:left w:val="none" w:sz="0" w:space="0" w:color="auto"/>
        <w:bottom w:val="none" w:sz="0" w:space="0" w:color="auto"/>
        <w:right w:val="none" w:sz="0" w:space="0" w:color="auto"/>
      </w:divBdr>
    </w:div>
    <w:div w:id="157885836">
      <w:bodyDiv w:val="1"/>
      <w:marLeft w:val="0"/>
      <w:marRight w:val="0"/>
      <w:marTop w:val="0"/>
      <w:marBottom w:val="0"/>
      <w:divBdr>
        <w:top w:val="none" w:sz="0" w:space="0" w:color="auto"/>
        <w:left w:val="none" w:sz="0" w:space="0" w:color="auto"/>
        <w:bottom w:val="none" w:sz="0" w:space="0" w:color="auto"/>
        <w:right w:val="none" w:sz="0" w:space="0" w:color="auto"/>
      </w:divBdr>
    </w:div>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13167045">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589195569">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68066981">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6775713">
      <w:bodyDiv w:val="1"/>
      <w:marLeft w:val="0"/>
      <w:marRight w:val="0"/>
      <w:marTop w:val="0"/>
      <w:marBottom w:val="0"/>
      <w:divBdr>
        <w:top w:val="none" w:sz="0" w:space="0" w:color="auto"/>
        <w:left w:val="none" w:sz="0" w:space="0" w:color="auto"/>
        <w:bottom w:val="none" w:sz="0" w:space="0" w:color="auto"/>
        <w:right w:val="none" w:sz="0" w:space="0" w:color="auto"/>
      </w:divBdr>
    </w:div>
    <w:div w:id="1533349127">
      <w:bodyDiv w:val="1"/>
      <w:marLeft w:val="0"/>
      <w:marRight w:val="0"/>
      <w:marTop w:val="0"/>
      <w:marBottom w:val="0"/>
      <w:divBdr>
        <w:top w:val="none" w:sz="0" w:space="0" w:color="auto"/>
        <w:left w:val="none" w:sz="0" w:space="0" w:color="auto"/>
        <w:bottom w:val="none" w:sz="0" w:space="0" w:color="auto"/>
        <w:right w:val="none" w:sz="0" w:space="0" w:color="auto"/>
      </w:divBdr>
      <w:divsChild>
        <w:div w:id="26486440">
          <w:marLeft w:val="0"/>
          <w:marRight w:val="0"/>
          <w:marTop w:val="0"/>
          <w:marBottom w:val="0"/>
          <w:divBdr>
            <w:top w:val="none" w:sz="0" w:space="0" w:color="auto"/>
            <w:left w:val="none" w:sz="0" w:space="0" w:color="auto"/>
            <w:bottom w:val="none" w:sz="0" w:space="0" w:color="auto"/>
            <w:right w:val="none" w:sz="0" w:space="0" w:color="auto"/>
          </w:divBdr>
          <w:divsChild>
            <w:div w:id="1869023146">
              <w:marLeft w:val="0"/>
              <w:marRight w:val="0"/>
              <w:marTop w:val="0"/>
              <w:marBottom w:val="0"/>
              <w:divBdr>
                <w:top w:val="none" w:sz="0" w:space="0" w:color="auto"/>
                <w:left w:val="none" w:sz="0" w:space="0" w:color="auto"/>
                <w:bottom w:val="none" w:sz="0" w:space="0" w:color="auto"/>
                <w:right w:val="none" w:sz="0" w:space="0" w:color="auto"/>
              </w:divBdr>
              <w:divsChild>
                <w:div w:id="999819444">
                  <w:marLeft w:val="0"/>
                  <w:marRight w:val="0"/>
                  <w:marTop w:val="0"/>
                  <w:marBottom w:val="0"/>
                  <w:divBdr>
                    <w:top w:val="none" w:sz="0" w:space="0" w:color="auto"/>
                    <w:left w:val="none" w:sz="0" w:space="0" w:color="auto"/>
                    <w:bottom w:val="none" w:sz="0" w:space="0" w:color="auto"/>
                    <w:right w:val="none" w:sz="0" w:space="0" w:color="auto"/>
                  </w:divBdr>
                  <w:divsChild>
                    <w:div w:id="828788746">
                      <w:marLeft w:val="0"/>
                      <w:marRight w:val="0"/>
                      <w:marTop w:val="0"/>
                      <w:marBottom w:val="0"/>
                      <w:divBdr>
                        <w:top w:val="none" w:sz="0" w:space="0" w:color="auto"/>
                        <w:left w:val="none" w:sz="0" w:space="0" w:color="auto"/>
                        <w:bottom w:val="none" w:sz="0" w:space="0" w:color="auto"/>
                        <w:right w:val="none" w:sz="0" w:space="0" w:color="auto"/>
                      </w:divBdr>
                      <w:divsChild>
                        <w:div w:id="694842547">
                          <w:marLeft w:val="0"/>
                          <w:marRight w:val="0"/>
                          <w:marTop w:val="0"/>
                          <w:marBottom w:val="0"/>
                          <w:divBdr>
                            <w:top w:val="none" w:sz="0" w:space="0" w:color="auto"/>
                            <w:left w:val="none" w:sz="0" w:space="0" w:color="auto"/>
                            <w:bottom w:val="none" w:sz="0" w:space="0" w:color="auto"/>
                            <w:right w:val="none" w:sz="0" w:space="0" w:color="auto"/>
                          </w:divBdr>
                          <w:divsChild>
                            <w:div w:id="475341294">
                              <w:marLeft w:val="0"/>
                              <w:marRight w:val="300"/>
                              <w:marTop w:val="180"/>
                              <w:marBottom w:val="0"/>
                              <w:divBdr>
                                <w:top w:val="none" w:sz="0" w:space="0" w:color="auto"/>
                                <w:left w:val="none" w:sz="0" w:space="0" w:color="auto"/>
                                <w:bottom w:val="none" w:sz="0" w:space="0" w:color="auto"/>
                                <w:right w:val="none" w:sz="0" w:space="0" w:color="auto"/>
                              </w:divBdr>
                              <w:divsChild>
                                <w:div w:id="289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42900">
          <w:marLeft w:val="0"/>
          <w:marRight w:val="0"/>
          <w:marTop w:val="0"/>
          <w:marBottom w:val="0"/>
          <w:divBdr>
            <w:top w:val="none" w:sz="0" w:space="0" w:color="auto"/>
            <w:left w:val="none" w:sz="0" w:space="0" w:color="auto"/>
            <w:bottom w:val="none" w:sz="0" w:space="0" w:color="auto"/>
            <w:right w:val="none" w:sz="0" w:space="0" w:color="auto"/>
          </w:divBdr>
          <w:divsChild>
            <w:div w:id="1414863036">
              <w:marLeft w:val="0"/>
              <w:marRight w:val="0"/>
              <w:marTop w:val="0"/>
              <w:marBottom w:val="0"/>
              <w:divBdr>
                <w:top w:val="none" w:sz="0" w:space="0" w:color="auto"/>
                <w:left w:val="none" w:sz="0" w:space="0" w:color="auto"/>
                <w:bottom w:val="none" w:sz="0" w:space="0" w:color="auto"/>
                <w:right w:val="none" w:sz="0" w:space="0" w:color="auto"/>
              </w:divBdr>
              <w:divsChild>
                <w:div w:id="2102605837">
                  <w:marLeft w:val="0"/>
                  <w:marRight w:val="0"/>
                  <w:marTop w:val="0"/>
                  <w:marBottom w:val="0"/>
                  <w:divBdr>
                    <w:top w:val="none" w:sz="0" w:space="0" w:color="auto"/>
                    <w:left w:val="none" w:sz="0" w:space="0" w:color="auto"/>
                    <w:bottom w:val="none" w:sz="0" w:space="0" w:color="auto"/>
                    <w:right w:val="none" w:sz="0" w:space="0" w:color="auto"/>
                  </w:divBdr>
                  <w:divsChild>
                    <w:div w:id="1537113000">
                      <w:marLeft w:val="0"/>
                      <w:marRight w:val="0"/>
                      <w:marTop w:val="0"/>
                      <w:marBottom w:val="0"/>
                      <w:divBdr>
                        <w:top w:val="none" w:sz="0" w:space="0" w:color="auto"/>
                        <w:left w:val="none" w:sz="0" w:space="0" w:color="auto"/>
                        <w:bottom w:val="none" w:sz="0" w:space="0" w:color="auto"/>
                        <w:right w:val="none" w:sz="0" w:space="0" w:color="auto"/>
                      </w:divBdr>
                      <w:divsChild>
                        <w:div w:id="2436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656493421">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1724862107">
      <w:bodyDiv w:val="1"/>
      <w:marLeft w:val="0"/>
      <w:marRight w:val="0"/>
      <w:marTop w:val="0"/>
      <w:marBottom w:val="0"/>
      <w:divBdr>
        <w:top w:val="none" w:sz="0" w:space="0" w:color="auto"/>
        <w:left w:val="none" w:sz="0" w:space="0" w:color="auto"/>
        <w:bottom w:val="none" w:sz="0" w:space="0" w:color="auto"/>
        <w:right w:val="none" w:sz="0" w:space="0" w:color="auto"/>
      </w:divBdr>
    </w:div>
    <w:div w:id="1765687107">
      <w:bodyDiv w:val="1"/>
      <w:marLeft w:val="0"/>
      <w:marRight w:val="0"/>
      <w:marTop w:val="0"/>
      <w:marBottom w:val="0"/>
      <w:divBdr>
        <w:top w:val="none" w:sz="0" w:space="0" w:color="auto"/>
        <w:left w:val="none" w:sz="0" w:space="0" w:color="auto"/>
        <w:bottom w:val="none" w:sz="0" w:space="0" w:color="auto"/>
        <w:right w:val="none" w:sz="0" w:space="0" w:color="auto"/>
      </w:divBdr>
      <w:divsChild>
        <w:div w:id="481892700">
          <w:marLeft w:val="0"/>
          <w:marRight w:val="0"/>
          <w:marTop w:val="0"/>
          <w:marBottom w:val="0"/>
          <w:divBdr>
            <w:top w:val="none" w:sz="0" w:space="0" w:color="auto"/>
            <w:left w:val="none" w:sz="0" w:space="0" w:color="auto"/>
            <w:bottom w:val="none" w:sz="0" w:space="0" w:color="auto"/>
            <w:right w:val="none" w:sz="0" w:space="0" w:color="auto"/>
          </w:divBdr>
          <w:divsChild>
            <w:div w:id="321856882">
              <w:marLeft w:val="0"/>
              <w:marRight w:val="0"/>
              <w:marTop w:val="0"/>
              <w:marBottom w:val="0"/>
              <w:divBdr>
                <w:top w:val="none" w:sz="0" w:space="0" w:color="auto"/>
                <w:left w:val="none" w:sz="0" w:space="0" w:color="auto"/>
                <w:bottom w:val="none" w:sz="0" w:space="0" w:color="auto"/>
                <w:right w:val="none" w:sz="0" w:space="0" w:color="auto"/>
              </w:divBdr>
              <w:divsChild>
                <w:div w:id="1463230877">
                  <w:marLeft w:val="0"/>
                  <w:marRight w:val="0"/>
                  <w:marTop w:val="0"/>
                  <w:marBottom w:val="0"/>
                  <w:divBdr>
                    <w:top w:val="none" w:sz="0" w:space="0" w:color="auto"/>
                    <w:left w:val="none" w:sz="0" w:space="0" w:color="auto"/>
                    <w:bottom w:val="none" w:sz="0" w:space="0" w:color="auto"/>
                    <w:right w:val="none" w:sz="0" w:space="0" w:color="auto"/>
                  </w:divBdr>
                  <w:divsChild>
                    <w:div w:id="1427187950">
                      <w:marLeft w:val="0"/>
                      <w:marRight w:val="0"/>
                      <w:marTop w:val="0"/>
                      <w:marBottom w:val="0"/>
                      <w:divBdr>
                        <w:top w:val="none" w:sz="0" w:space="0" w:color="auto"/>
                        <w:left w:val="none" w:sz="0" w:space="0" w:color="auto"/>
                        <w:bottom w:val="none" w:sz="0" w:space="0" w:color="auto"/>
                        <w:right w:val="none" w:sz="0" w:space="0" w:color="auto"/>
                      </w:divBdr>
                      <w:divsChild>
                        <w:div w:id="1763574102">
                          <w:marLeft w:val="0"/>
                          <w:marRight w:val="0"/>
                          <w:marTop w:val="0"/>
                          <w:marBottom w:val="0"/>
                          <w:divBdr>
                            <w:top w:val="none" w:sz="0" w:space="0" w:color="auto"/>
                            <w:left w:val="none" w:sz="0" w:space="0" w:color="auto"/>
                            <w:bottom w:val="none" w:sz="0" w:space="0" w:color="auto"/>
                            <w:right w:val="none" w:sz="0" w:space="0" w:color="auto"/>
                          </w:divBdr>
                          <w:divsChild>
                            <w:div w:id="391851304">
                              <w:marLeft w:val="0"/>
                              <w:marRight w:val="300"/>
                              <w:marTop w:val="180"/>
                              <w:marBottom w:val="0"/>
                              <w:divBdr>
                                <w:top w:val="none" w:sz="0" w:space="0" w:color="auto"/>
                                <w:left w:val="none" w:sz="0" w:space="0" w:color="auto"/>
                                <w:bottom w:val="none" w:sz="0" w:space="0" w:color="auto"/>
                                <w:right w:val="none" w:sz="0" w:space="0" w:color="auto"/>
                              </w:divBdr>
                              <w:divsChild>
                                <w:div w:id="17839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960615">
          <w:marLeft w:val="0"/>
          <w:marRight w:val="0"/>
          <w:marTop w:val="0"/>
          <w:marBottom w:val="0"/>
          <w:divBdr>
            <w:top w:val="none" w:sz="0" w:space="0" w:color="auto"/>
            <w:left w:val="none" w:sz="0" w:space="0" w:color="auto"/>
            <w:bottom w:val="none" w:sz="0" w:space="0" w:color="auto"/>
            <w:right w:val="none" w:sz="0" w:space="0" w:color="auto"/>
          </w:divBdr>
          <w:divsChild>
            <w:div w:id="844172817">
              <w:marLeft w:val="0"/>
              <w:marRight w:val="0"/>
              <w:marTop w:val="0"/>
              <w:marBottom w:val="0"/>
              <w:divBdr>
                <w:top w:val="none" w:sz="0" w:space="0" w:color="auto"/>
                <w:left w:val="none" w:sz="0" w:space="0" w:color="auto"/>
                <w:bottom w:val="none" w:sz="0" w:space="0" w:color="auto"/>
                <w:right w:val="none" w:sz="0" w:space="0" w:color="auto"/>
              </w:divBdr>
              <w:divsChild>
                <w:div w:id="1141269322">
                  <w:marLeft w:val="0"/>
                  <w:marRight w:val="0"/>
                  <w:marTop w:val="0"/>
                  <w:marBottom w:val="0"/>
                  <w:divBdr>
                    <w:top w:val="none" w:sz="0" w:space="0" w:color="auto"/>
                    <w:left w:val="none" w:sz="0" w:space="0" w:color="auto"/>
                    <w:bottom w:val="none" w:sz="0" w:space="0" w:color="auto"/>
                    <w:right w:val="none" w:sz="0" w:space="0" w:color="auto"/>
                  </w:divBdr>
                  <w:divsChild>
                    <w:div w:id="381909296">
                      <w:marLeft w:val="0"/>
                      <w:marRight w:val="0"/>
                      <w:marTop w:val="0"/>
                      <w:marBottom w:val="0"/>
                      <w:divBdr>
                        <w:top w:val="none" w:sz="0" w:space="0" w:color="auto"/>
                        <w:left w:val="none" w:sz="0" w:space="0" w:color="auto"/>
                        <w:bottom w:val="none" w:sz="0" w:space="0" w:color="auto"/>
                        <w:right w:val="none" w:sz="0" w:space="0" w:color="auto"/>
                      </w:divBdr>
                      <w:divsChild>
                        <w:div w:id="19361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868860">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Qu%E1%BA%A3ng_T%C3%A2y" TargetMode="External"/><Relationship Id="rId18" Type="http://schemas.openxmlformats.org/officeDocument/2006/relationships/hyperlink" Target="https://vi.wikipedia.org/wiki/Asen"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yperlink" Target="https://vi.wikipedia.org/wiki/V%C3%A2n_Nam" TargetMode="External"/><Relationship Id="rId17" Type="http://schemas.openxmlformats.org/officeDocument/2006/relationships/hyperlink" Target="https://vi.wikipedia.org/wiki/%C4%90%C3%A1_v%C3%B4i"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vi.wikipedia.org/wiki/Than_%C4%91%C3%A1" TargetMode="External"/><Relationship Id="rId20" Type="http://schemas.openxmlformats.org/officeDocument/2006/relationships/hyperlink" Target="https://vi.wikipedia.org/wiki/%C4%90%C3%A1_phi%E1%BA%BFn_d%E1%BA%A7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Tr%C3%B9ng_Kh%C3%A1nh"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vi.wikipedia.org/wiki/S%E1%BA%A3n_xu%E1%BA%A5t_%C4%91i%E1%BB%87n_n%C4%83ng" TargetMode="External"/><Relationship Id="rId23" Type="http://schemas.openxmlformats.org/officeDocument/2006/relationships/chart" Target="charts/chart3.xml"/><Relationship Id="rId28" Type="http://schemas.openxmlformats.org/officeDocument/2006/relationships/footer" Target="footer1.xml"/><Relationship Id="rId10" Type="http://schemas.openxmlformats.org/officeDocument/2006/relationships/hyperlink" Target="https://vi.wikipedia.org/wiki/T%E1%BB%A9_Xuy%C3%AAn" TargetMode="External"/><Relationship Id="rId19" Type="http://schemas.openxmlformats.org/officeDocument/2006/relationships/hyperlink" Target="https://vi.wikipedia.org/wiki/Th%E1%BA%A1ch_ca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wikipedia.org/wiki/H%E1%BB%93_Nam" TargetMode="External"/><Relationship Id="rId22" Type="http://schemas.openxmlformats.org/officeDocument/2006/relationships/chart" Target="charts/chart2.xml"/><Relationship Id="rId27" Type="http://schemas.openxmlformats.org/officeDocument/2006/relationships/chart" Target="charts/chart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vận chuyển của TQ trong tháng (đvt: 10.000 tấn)</a:t>
            </a:r>
          </a:p>
        </c:rich>
      </c:tx>
      <c:overlay val="0"/>
    </c:title>
    <c:autoTitleDeleted val="0"/>
    <c:plotArea>
      <c:layout/>
      <c:lineChart>
        <c:grouping val="standard"/>
        <c:varyColors val="0"/>
        <c:ser>
          <c:idx val="0"/>
          <c:order val="0"/>
          <c:cat>
            <c:strRef>
              <c:f>'2019'!$B$2:$AA$2</c:f>
              <c:strCache>
                <c:ptCount val="2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strCache>
            </c:strRef>
          </c:cat>
          <c:val>
            <c:numRef>
              <c:f>'2019'!$B$3:$AA$3</c:f>
              <c:numCache>
                <c:formatCode>#,##0</c:formatCode>
                <c:ptCount val="26"/>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pt idx="19">
                  <c:v>462415</c:v>
                </c:pt>
                <c:pt idx="20">
                  <c:v>472266</c:v>
                </c:pt>
                <c:pt idx="21">
                  <c:v>452774</c:v>
                </c:pt>
                <c:pt idx="22">
                  <c:v>413073</c:v>
                </c:pt>
                <c:pt idx="23">
                  <c:v>246539</c:v>
                </c:pt>
                <c:pt idx="24">
                  <c:v>425112</c:v>
                </c:pt>
                <c:pt idx="25">
                  <c:v>449533</c:v>
                </c:pt>
              </c:numCache>
            </c:numRef>
          </c:val>
          <c:smooth val="0"/>
        </c:ser>
        <c:dLbls>
          <c:showLegendKey val="0"/>
          <c:showVal val="0"/>
          <c:showCatName val="0"/>
          <c:showSerName val="0"/>
          <c:showPercent val="0"/>
          <c:showBubbleSize val="0"/>
        </c:dLbls>
        <c:marker val="1"/>
        <c:smooth val="0"/>
        <c:axId val="336393728"/>
        <c:axId val="294953536"/>
      </c:lineChart>
      <c:catAx>
        <c:axId val="336393728"/>
        <c:scaling>
          <c:orientation val="minMax"/>
        </c:scaling>
        <c:delete val="0"/>
        <c:axPos val="b"/>
        <c:majorTickMark val="out"/>
        <c:minorTickMark val="none"/>
        <c:tickLblPos val="nextTo"/>
        <c:txPr>
          <a:bodyPr/>
          <a:lstStyle/>
          <a:p>
            <a:pPr>
              <a:defRPr sz="1100"/>
            </a:pPr>
            <a:endParaRPr lang="en-US"/>
          </a:p>
        </c:txPr>
        <c:crossAx val="294953536"/>
        <c:crosses val="autoZero"/>
        <c:auto val="1"/>
        <c:lblAlgn val="ctr"/>
        <c:lblOffset val="100"/>
        <c:noMultiLvlLbl val="0"/>
      </c:catAx>
      <c:valAx>
        <c:axId val="294953536"/>
        <c:scaling>
          <c:orientation val="minMax"/>
        </c:scaling>
        <c:delete val="0"/>
        <c:axPos val="l"/>
        <c:majorGridlines/>
        <c:numFmt formatCode="#,##0" sourceLinked="1"/>
        <c:majorTickMark val="out"/>
        <c:minorTickMark val="none"/>
        <c:tickLblPos val="nextTo"/>
        <c:crossAx val="33639372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111111111111111"/>
                  <c:y val="9.7222222222222224E-2"/>
                </c:manualLayout>
              </c:layout>
              <c:showLegendKey val="0"/>
              <c:showVal val="0"/>
              <c:showCatName val="1"/>
              <c:showSerName val="0"/>
              <c:showPercent val="1"/>
              <c:showBubbleSize val="0"/>
            </c:dLbl>
            <c:dLbl>
              <c:idx val="2"/>
              <c:layout>
                <c:manualLayout>
                  <c:x val="-0.17499999999999999"/>
                  <c:y val="5.5555555555555552E-2"/>
                </c:manualLayout>
              </c:layout>
              <c:showLegendKey val="0"/>
              <c:showVal val="0"/>
              <c:showCatName val="1"/>
              <c:showSerName val="0"/>
              <c:showPercent val="1"/>
              <c:showBubbleSize val="0"/>
            </c:dLbl>
            <c:dLbl>
              <c:idx val="3"/>
              <c:layout>
                <c:manualLayout>
                  <c:x val="3.0555555555555555E-2"/>
                  <c:y val="-6.9444444444444461E-2"/>
                </c:manualLayout>
              </c:layout>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'China- tinh toan'!$A$4:$A$7</c:f>
              <c:strCache>
                <c:ptCount val="4"/>
                <c:pt idx="0">
                  <c:v>Đường sắt</c:v>
                </c:pt>
                <c:pt idx="1">
                  <c:v>Đường bộ</c:v>
                </c:pt>
                <c:pt idx="2">
                  <c:v>Đường thủy</c:v>
                </c:pt>
                <c:pt idx="3">
                  <c:v>Hàng không dân dụng</c:v>
                </c:pt>
              </c:strCache>
            </c:strRef>
          </c:cat>
          <c:val>
            <c:numRef>
              <c:f>'China- tinh toan'!$B$4:$B$7</c:f>
              <c:numCache>
                <c:formatCode>#,##0</c:formatCode>
                <c:ptCount val="4"/>
                <c:pt idx="0">
                  <c:v>134873</c:v>
                </c:pt>
                <c:pt idx="1">
                  <c:v>1175396</c:v>
                </c:pt>
                <c:pt idx="2">
                  <c:v>223761</c:v>
                </c:pt>
                <c:pt idx="3">
                  <c:v>228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Times New Roman" pitchFamily="18" charset="0"/>
                <a:cs typeface="Times New Roman" pitchFamily="18" charset="0"/>
              </a:rPr>
              <a:t>Vận chuyển hàng hóa bằng đường sắt của Trung Quốc (đvt:10.000 tấn)</a:t>
            </a:r>
            <a:endParaRPr lang="en-US" sz="1200">
              <a:effectLst/>
              <a:latin typeface="Times New Roman" pitchFamily="18" charset="0"/>
              <a:cs typeface="Times New Roman" pitchFamily="18" charset="0"/>
            </a:endParaRPr>
          </a:p>
        </c:rich>
      </c:tx>
      <c:layout>
        <c:manualLayout>
          <c:xMode val="edge"/>
          <c:yMode val="edge"/>
          <c:x val="0.12680555555555556"/>
          <c:y val="2.3148148148148147E-2"/>
        </c:manualLayout>
      </c:layout>
      <c:overlay val="0"/>
    </c:title>
    <c:autoTitleDeleted val="0"/>
    <c:plotArea>
      <c:layout/>
      <c:lineChart>
        <c:grouping val="standard"/>
        <c:varyColors val="0"/>
        <c:ser>
          <c:idx val="0"/>
          <c:order val="0"/>
          <c:cat>
            <c:strRef>
              <c:f>'2019'!$B$2:$AA$2</c:f>
              <c:strCache>
                <c:ptCount val="2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strCache>
            </c:strRef>
          </c:cat>
          <c:val>
            <c:numRef>
              <c:f>'2019'!$B$5:$AA$5</c:f>
              <c:numCache>
                <c:formatCode>#,##0</c:formatCode>
                <c:ptCount val="26"/>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pt idx="19">
                  <c:v>35460</c:v>
                </c:pt>
                <c:pt idx="20">
                  <c:v>35081</c:v>
                </c:pt>
                <c:pt idx="21">
                  <c:v>34648</c:v>
                </c:pt>
                <c:pt idx="22">
                  <c:v>36756</c:v>
                </c:pt>
                <c:pt idx="23">
                  <c:v>29769</c:v>
                </c:pt>
                <c:pt idx="24">
                  <c:v>34752</c:v>
                </c:pt>
                <c:pt idx="25">
                  <c:v>33595</c:v>
                </c:pt>
              </c:numCache>
            </c:numRef>
          </c:val>
          <c:smooth val="0"/>
        </c:ser>
        <c:dLbls>
          <c:showLegendKey val="0"/>
          <c:showVal val="0"/>
          <c:showCatName val="0"/>
          <c:showSerName val="0"/>
          <c:showPercent val="0"/>
          <c:showBubbleSize val="0"/>
        </c:dLbls>
        <c:marker val="1"/>
        <c:smooth val="0"/>
        <c:axId val="316576768"/>
        <c:axId val="294955840"/>
      </c:lineChart>
      <c:catAx>
        <c:axId val="31657676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94955840"/>
        <c:crosses val="autoZero"/>
        <c:auto val="1"/>
        <c:lblAlgn val="ctr"/>
        <c:lblOffset val="100"/>
        <c:noMultiLvlLbl val="0"/>
      </c:catAx>
      <c:valAx>
        <c:axId val="294955840"/>
        <c:scaling>
          <c:orientation val="minMax"/>
        </c:scaling>
        <c:delete val="0"/>
        <c:axPos val="l"/>
        <c:majorGridlines/>
        <c:numFmt formatCode="#,##0" sourceLinked="1"/>
        <c:majorTickMark val="out"/>
        <c:minorTickMark val="none"/>
        <c:tickLblPos val="nextTo"/>
        <c:crossAx val="3165767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u="none" strike="noStrike" baseline="0">
                <a:effectLst/>
                <a:latin typeface="Times New Roman" pitchFamily="18" charset="0"/>
                <a:cs typeface="Times New Roman" pitchFamily="18" charset="0"/>
              </a:rPr>
              <a:t>Vận chuyển hàng hóa bằng đường bộ của Trung Quốc (đvt:10.000 tấn)</a:t>
            </a:r>
            <a:endParaRPr lang="en-US" sz="13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'2019'!$B$2:$AA$2</c:f>
              <c:strCache>
                <c:ptCount val="2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strCache>
            </c:strRef>
          </c:cat>
          <c:val>
            <c:numRef>
              <c:f>'2019'!$B$7:$AA$7</c:f>
              <c:numCache>
                <c:formatCode>#,##0</c:formatCode>
                <c:ptCount val="26"/>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pt idx="19">
                  <c:v>362870</c:v>
                </c:pt>
                <c:pt idx="20">
                  <c:v>372017</c:v>
                </c:pt>
                <c:pt idx="21">
                  <c:v>359868</c:v>
                </c:pt>
                <c:pt idx="22">
                  <c:v>318985</c:v>
                </c:pt>
                <c:pt idx="23">
                  <c:v>167329</c:v>
                </c:pt>
                <c:pt idx="24">
                  <c:v>333114</c:v>
                </c:pt>
                <c:pt idx="25">
                  <c:v>355968</c:v>
                </c:pt>
              </c:numCache>
            </c:numRef>
          </c:val>
          <c:smooth val="0"/>
        </c:ser>
        <c:dLbls>
          <c:showLegendKey val="0"/>
          <c:showVal val="0"/>
          <c:showCatName val="0"/>
          <c:showSerName val="0"/>
          <c:showPercent val="0"/>
          <c:showBubbleSize val="0"/>
        </c:dLbls>
        <c:marker val="1"/>
        <c:smooth val="0"/>
        <c:axId val="316578304"/>
        <c:axId val="294957568"/>
      </c:lineChart>
      <c:catAx>
        <c:axId val="316578304"/>
        <c:scaling>
          <c:orientation val="minMax"/>
        </c:scaling>
        <c:delete val="0"/>
        <c:axPos val="b"/>
        <c:majorTickMark val="out"/>
        <c:minorTickMark val="none"/>
        <c:tickLblPos val="nextTo"/>
        <c:crossAx val="294957568"/>
        <c:crosses val="autoZero"/>
        <c:auto val="1"/>
        <c:lblAlgn val="ctr"/>
        <c:lblOffset val="100"/>
        <c:noMultiLvlLbl val="0"/>
      </c:catAx>
      <c:valAx>
        <c:axId val="294957568"/>
        <c:scaling>
          <c:orientation val="minMax"/>
        </c:scaling>
        <c:delete val="0"/>
        <c:axPos val="l"/>
        <c:majorGridlines/>
        <c:numFmt formatCode="#,##0" sourceLinked="1"/>
        <c:majorTickMark val="out"/>
        <c:minorTickMark val="none"/>
        <c:tickLblPos val="nextTo"/>
        <c:crossAx val="3165783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b="1" i="0" baseline="0">
                <a:effectLst/>
                <a:latin typeface="Times New Roman" pitchFamily="18" charset="0"/>
                <a:cs typeface="Times New Roman" pitchFamily="18" charset="0"/>
              </a:rPr>
              <a:t>Vận chuyển hàng hóa bằng đường thủy của Trung Quốc (đvt:10.000 tấn)</a:t>
            </a:r>
            <a:endParaRPr lang="en-US" sz="1200">
              <a:effectLst/>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'2019'!$B$2:$AA$2</c:f>
              <c:strCache>
                <c:ptCount val="2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strCache>
            </c:strRef>
          </c:cat>
          <c:val>
            <c:numRef>
              <c:f>'2019'!$B$9:$AA$9</c:f>
              <c:numCache>
                <c:formatCode>#,##0</c:formatCode>
                <c:ptCount val="26"/>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pt idx="19">
                  <c:v>64022</c:v>
                </c:pt>
                <c:pt idx="20">
                  <c:v>65102</c:v>
                </c:pt>
                <c:pt idx="21">
                  <c:v>58190</c:v>
                </c:pt>
                <c:pt idx="22">
                  <c:v>57264</c:v>
                </c:pt>
                <c:pt idx="23">
                  <c:v>49404</c:v>
                </c:pt>
                <c:pt idx="24">
                  <c:v>57183</c:v>
                </c:pt>
                <c:pt idx="25">
                  <c:v>59910</c:v>
                </c:pt>
              </c:numCache>
            </c:numRef>
          </c:val>
          <c:smooth val="0"/>
        </c:ser>
        <c:dLbls>
          <c:showLegendKey val="0"/>
          <c:showVal val="0"/>
          <c:showCatName val="0"/>
          <c:showSerName val="0"/>
          <c:showPercent val="0"/>
          <c:showBubbleSize val="0"/>
        </c:dLbls>
        <c:marker val="1"/>
        <c:smooth val="0"/>
        <c:axId val="316578816"/>
        <c:axId val="294959296"/>
      </c:lineChart>
      <c:catAx>
        <c:axId val="31657881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94959296"/>
        <c:crosses val="autoZero"/>
        <c:auto val="1"/>
        <c:lblAlgn val="ctr"/>
        <c:lblOffset val="100"/>
        <c:noMultiLvlLbl val="0"/>
      </c:catAx>
      <c:valAx>
        <c:axId val="294959296"/>
        <c:scaling>
          <c:orientation val="minMax"/>
        </c:scaling>
        <c:delete val="0"/>
        <c:axPos val="l"/>
        <c:majorGridlines/>
        <c:numFmt formatCode="#,##0" sourceLinked="1"/>
        <c:majorTickMark val="out"/>
        <c:minorTickMark val="none"/>
        <c:tickLblPos val="nextTo"/>
        <c:crossAx val="31657881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b="1" i="0" baseline="0">
                <a:effectLst/>
                <a:latin typeface="Times New Roman" pitchFamily="18" charset="0"/>
                <a:cs typeface="Times New Roman" pitchFamily="18" charset="0"/>
              </a:rPr>
              <a:t>Vận chuyển hàng hóa bằng đường hàng không dân dụng của Trung Quốc (đvt:10.000 tấn)</a:t>
            </a:r>
            <a:endParaRPr lang="en-US" sz="1300">
              <a:effectLst/>
              <a:latin typeface="Times New Roman" pitchFamily="18" charset="0"/>
              <a:cs typeface="Times New Roman" pitchFamily="18" charset="0"/>
            </a:endParaRPr>
          </a:p>
        </c:rich>
      </c:tx>
      <c:layout>
        <c:manualLayout>
          <c:xMode val="edge"/>
          <c:yMode val="edge"/>
          <c:x val="0.13213888888888889"/>
          <c:y val="4.6296296296296294E-3"/>
        </c:manualLayout>
      </c:layout>
      <c:overlay val="0"/>
    </c:title>
    <c:autoTitleDeleted val="0"/>
    <c:plotArea>
      <c:layout/>
      <c:lineChart>
        <c:grouping val="standard"/>
        <c:varyColors val="0"/>
        <c:ser>
          <c:idx val="0"/>
          <c:order val="0"/>
          <c:cat>
            <c:strRef>
              <c:f>'2019'!$B$2:$AA$2</c:f>
              <c:strCache>
                <c:ptCount val="26"/>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pt idx="19">
                  <c:v>10/2018</c:v>
                </c:pt>
                <c:pt idx="20">
                  <c:v>11/2018</c:v>
                </c:pt>
                <c:pt idx="21">
                  <c:v>12/2018</c:v>
                </c:pt>
                <c:pt idx="22">
                  <c:v>01/2019</c:v>
                </c:pt>
                <c:pt idx="23">
                  <c:v>02/2019</c:v>
                </c:pt>
                <c:pt idx="24">
                  <c:v>3/2019</c:v>
                </c:pt>
                <c:pt idx="25">
                  <c:v>4/2019</c:v>
                </c:pt>
              </c:strCache>
            </c:strRef>
          </c:cat>
          <c:val>
            <c:numRef>
              <c:f>'2019'!$B$11:$AA$11</c:f>
              <c:numCache>
                <c:formatCode>General</c:formatCode>
                <c:ptCount val="26"/>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pt idx="19" formatCode="#,##0">
                  <c:v>63</c:v>
                </c:pt>
                <c:pt idx="20" formatCode="#,##0">
                  <c:v>66</c:v>
                </c:pt>
                <c:pt idx="21" formatCode="#,##0">
                  <c:v>67</c:v>
                </c:pt>
                <c:pt idx="22" formatCode="#,##0">
                  <c:v>67</c:v>
                </c:pt>
                <c:pt idx="23" formatCode="#,##0">
                  <c:v>38</c:v>
                </c:pt>
                <c:pt idx="24" formatCode="#,##0">
                  <c:v>63</c:v>
                </c:pt>
                <c:pt idx="25" formatCode="#,##0">
                  <c:v>60</c:v>
                </c:pt>
              </c:numCache>
            </c:numRef>
          </c:val>
          <c:smooth val="0"/>
        </c:ser>
        <c:dLbls>
          <c:showLegendKey val="0"/>
          <c:showVal val="0"/>
          <c:showCatName val="0"/>
          <c:showSerName val="0"/>
          <c:showPercent val="0"/>
          <c:showBubbleSize val="0"/>
        </c:dLbls>
        <c:marker val="1"/>
        <c:smooth val="0"/>
        <c:axId val="336395776"/>
        <c:axId val="337289216"/>
      </c:lineChart>
      <c:catAx>
        <c:axId val="336395776"/>
        <c:scaling>
          <c:orientation val="minMax"/>
        </c:scaling>
        <c:delete val="0"/>
        <c:axPos val="b"/>
        <c:majorTickMark val="out"/>
        <c:minorTickMark val="none"/>
        <c:tickLblPos val="nextTo"/>
        <c:crossAx val="337289216"/>
        <c:crosses val="autoZero"/>
        <c:auto val="1"/>
        <c:lblAlgn val="ctr"/>
        <c:lblOffset val="100"/>
        <c:noMultiLvlLbl val="0"/>
      </c:catAx>
      <c:valAx>
        <c:axId val="337289216"/>
        <c:scaling>
          <c:orientation val="minMax"/>
        </c:scaling>
        <c:delete val="0"/>
        <c:axPos val="l"/>
        <c:majorGridlines/>
        <c:numFmt formatCode="General" sourceLinked="1"/>
        <c:majorTickMark val="out"/>
        <c:minorTickMark val="none"/>
        <c:tickLblPos val="nextTo"/>
        <c:crossAx val="3363957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BD98-DDD1-4BAC-A515-23D9F67D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28712</TotalTime>
  <Pages>19</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94</cp:revision>
  <dcterms:created xsi:type="dcterms:W3CDTF">2018-04-26T04:07:00Z</dcterms:created>
  <dcterms:modified xsi:type="dcterms:W3CDTF">2019-05-29T03:28:00Z</dcterms:modified>
</cp:coreProperties>
</file>